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B4628F" w:rsidRDefault="009834D2" w:rsidP="00941450">
      <w:pPr>
        <w:pStyle w:val="BodyText"/>
        <w:spacing w:after="240" w:line="264" w:lineRule="auto"/>
        <w:ind w:right="0"/>
        <w:jc w:val="right"/>
        <w:rPr>
          <w:rFonts w:cs="Arial"/>
          <w:sz w:val="22"/>
          <w:szCs w:val="22"/>
          <w:lang w:val="en-GB"/>
        </w:rPr>
      </w:pPr>
      <w:r w:rsidRPr="00B4628F">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26F67AB7" w14:textId="732E21F1" w:rsidR="0024305D" w:rsidRPr="00B4628F" w:rsidRDefault="00854166" w:rsidP="00506CB2">
      <w:pPr>
        <w:pStyle w:val="SanHeader"/>
      </w:pPr>
      <w:r w:rsidRPr="00B4628F">
        <w:t>VAT</w:t>
      </w:r>
      <w:r w:rsidR="0024305D" w:rsidRPr="00B4628F">
        <w:t xml:space="preserve"> RULING: </w:t>
      </w:r>
      <w:r w:rsidRPr="00B4628F">
        <w:t>VR </w:t>
      </w:r>
      <w:r w:rsidR="00FE31E4" w:rsidRPr="00B4628F">
        <w:t>xxx</w:t>
      </w:r>
      <w:r w:rsidRPr="00B4628F">
        <w:t xml:space="preserve"> [or VAT CLASS RULING: VCR: XXX]</w:t>
      </w:r>
    </w:p>
    <w:p w14:paraId="26F67AB8" w14:textId="47CA2DFA" w:rsidR="0024305D" w:rsidRPr="00B4628F" w:rsidRDefault="0024305D" w:rsidP="00506CB2">
      <w:pPr>
        <w:pStyle w:val="SanDate"/>
        <w:rPr>
          <w:b/>
        </w:rPr>
      </w:pPr>
      <w:r w:rsidRPr="00B4628F">
        <w:t>DATE:</w:t>
      </w:r>
      <w:r w:rsidR="00876A49" w:rsidRPr="00B4628F">
        <w:t xml:space="preserve"> </w:t>
      </w:r>
      <w:r w:rsidR="00B4628F" w:rsidRPr="00B4628F">
        <w:t>xxx</w:t>
      </w:r>
    </w:p>
    <w:p w14:paraId="26F67AB9" w14:textId="5AB1304C" w:rsidR="0024305D" w:rsidRPr="00B4628F" w:rsidRDefault="0024305D" w:rsidP="00506CB2">
      <w:pPr>
        <w:pStyle w:val="SanLegislSubj"/>
      </w:pPr>
      <w:r w:rsidRPr="00B4628F">
        <w:t>ACT</w:t>
      </w:r>
      <w:r w:rsidRPr="00B4628F">
        <w:tab/>
        <w:t>:</w:t>
      </w:r>
      <w:r w:rsidRPr="00B4628F">
        <w:tab/>
      </w:r>
      <w:r w:rsidR="00BB45C7" w:rsidRPr="00B4628F">
        <w:t>VALUE-ADDED TAX ACT</w:t>
      </w:r>
      <w:r w:rsidR="00445233" w:rsidRPr="00B4628F">
        <w:t>,</w:t>
      </w:r>
      <w:r w:rsidR="00BB45C7" w:rsidRPr="00B4628F">
        <w:t xml:space="preserve"> 1991</w:t>
      </w:r>
      <w:r w:rsidRPr="00B4628F">
        <w:t xml:space="preserve"> (the</w:t>
      </w:r>
      <w:r w:rsidR="00BB45C7" w:rsidRPr="00B4628F">
        <w:t xml:space="preserve"> VAT</w:t>
      </w:r>
      <w:r w:rsidR="00445233" w:rsidRPr="00B4628F">
        <w:t xml:space="preserve"> </w:t>
      </w:r>
      <w:r w:rsidRPr="00B4628F">
        <w:t>Act)</w:t>
      </w:r>
      <w:r w:rsidR="000C14CA" w:rsidRPr="00B4628F">
        <w:t xml:space="preserve"> </w:t>
      </w:r>
    </w:p>
    <w:p w14:paraId="1024DF79" w14:textId="77777777" w:rsidR="00445233" w:rsidRPr="00B4628F" w:rsidRDefault="00445233" w:rsidP="00506CB2">
      <w:pPr>
        <w:pStyle w:val="SanLegislSubj"/>
      </w:pPr>
    </w:p>
    <w:p w14:paraId="26F67ABD" w14:textId="1390F9EA" w:rsidR="007F31FD" w:rsidRPr="00B4628F" w:rsidRDefault="0024305D" w:rsidP="00506CB2">
      <w:pPr>
        <w:pStyle w:val="SanLegislSubj"/>
      </w:pPr>
      <w:r w:rsidRPr="00B4628F">
        <w:t>SECTION</w:t>
      </w:r>
      <w:r w:rsidRPr="00B4628F">
        <w:tab/>
        <w:t>:</w:t>
      </w:r>
      <w:r w:rsidRPr="00B4628F">
        <w:tab/>
        <w:t>SECTION</w:t>
      </w:r>
      <w:r w:rsidR="0075234A" w:rsidRPr="00B4628F">
        <w:t> </w:t>
      </w:r>
      <w:r w:rsidR="00BB45C7" w:rsidRPr="00B4628F">
        <w:t>16(2)</w:t>
      </w:r>
      <w:r w:rsidR="00AD056B" w:rsidRPr="00B4628F">
        <w:t>(</w:t>
      </w:r>
      <w:r w:rsidR="00BB45C7" w:rsidRPr="00B4628F">
        <w:rPr>
          <w:i/>
        </w:rPr>
        <w:t>g</w:t>
      </w:r>
      <w:r w:rsidR="000F2645" w:rsidRPr="00B4628F">
        <w:t>)</w:t>
      </w:r>
      <w:r w:rsidR="000D596A" w:rsidRPr="00B4628F">
        <w:t xml:space="preserve"> </w:t>
      </w:r>
    </w:p>
    <w:p w14:paraId="26F67AC2" w14:textId="2E156AB6" w:rsidR="00B279AB" w:rsidRPr="00B4628F" w:rsidRDefault="00B279AB" w:rsidP="00506CB2">
      <w:pPr>
        <w:pStyle w:val="SanLegislSubj"/>
      </w:pPr>
      <w:r w:rsidRPr="00B4628F">
        <w:tab/>
      </w:r>
      <w:r w:rsidRPr="00B4628F">
        <w:tab/>
      </w:r>
    </w:p>
    <w:p w14:paraId="11F9C564" w14:textId="5199FFDC" w:rsidR="00FC73DF" w:rsidRPr="00762A64" w:rsidRDefault="0024305D" w:rsidP="00052519">
      <w:pPr>
        <w:pStyle w:val="SanLegislSubj"/>
        <w:widowControl w:val="0"/>
        <w:jc w:val="both"/>
      </w:pPr>
      <w:r w:rsidRPr="00B4628F">
        <w:t>SUBJE</w:t>
      </w:r>
      <w:r w:rsidRPr="00762A64">
        <w:t>CT</w:t>
      </w:r>
      <w:r w:rsidRPr="00762A64">
        <w:tab/>
        <w:t>:</w:t>
      </w:r>
      <w:r w:rsidRPr="00762A64">
        <w:tab/>
      </w:r>
      <w:r w:rsidR="00FC73DF" w:rsidRPr="00762A64">
        <w:t xml:space="preserve">DOCUMENTARY PROOF REQUIRED </w:t>
      </w:r>
      <w:r w:rsidR="00052519" w:rsidRPr="00762A64">
        <w:t>TO CLAIM</w:t>
      </w:r>
      <w:r w:rsidR="00D545D4" w:rsidRPr="00762A64">
        <w:t xml:space="preserve"> A DEDUCTION </w:t>
      </w:r>
      <w:r w:rsidR="00FC73DF" w:rsidRPr="00762A64">
        <w:t>WHEN</w:t>
      </w:r>
      <w:r w:rsidR="00052519" w:rsidRPr="00762A64">
        <w:t xml:space="preserve"> </w:t>
      </w:r>
      <w:r w:rsidR="00FC73DF" w:rsidRPr="00762A64">
        <w:t>A</w:t>
      </w:r>
      <w:r w:rsidR="00052519" w:rsidRPr="00762A64">
        <w:t xml:space="preserve"> </w:t>
      </w:r>
      <w:r w:rsidR="00FC73DF" w:rsidRPr="00762A64">
        <w:t xml:space="preserve">VENDOR IS UNABLE TO OBTAIN </w:t>
      </w:r>
      <w:r w:rsidR="005F6E14" w:rsidRPr="00762A64">
        <w:t>THE</w:t>
      </w:r>
      <w:r w:rsidR="00D9237D" w:rsidRPr="00762A64">
        <w:t xml:space="preserve"> R</w:t>
      </w:r>
      <w:r w:rsidR="00A454E0" w:rsidRPr="00762A64">
        <w:t>EQUIRED</w:t>
      </w:r>
      <w:r w:rsidR="00052519" w:rsidRPr="00762A64">
        <w:t xml:space="preserve"> </w:t>
      </w:r>
      <w:r w:rsidR="00D9237D" w:rsidRPr="00762A64">
        <w:t>DOCUMENT</w:t>
      </w:r>
      <w:r w:rsidR="0066332C" w:rsidRPr="00762A64">
        <w:t>S</w:t>
      </w:r>
      <w:r w:rsidR="00052519" w:rsidRPr="00762A64">
        <w:t xml:space="preserve"> </w:t>
      </w:r>
      <w:r w:rsidR="005F6E14" w:rsidRPr="00762A64">
        <w:t>UNDER</w:t>
      </w:r>
      <w:r w:rsidR="00052519" w:rsidRPr="00762A64">
        <w:t xml:space="preserve"> </w:t>
      </w:r>
      <w:r w:rsidR="005F6E14" w:rsidRPr="00762A64">
        <w:t>SECTION</w:t>
      </w:r>
      <w:r w:rsidR="00052519" w:rsidRPr="00762A64">
        <w:t xml:space="preserve"> </w:t>
      </w:r>
      <w:r w:rsidR="005F6E14" w:rsidRPr="00762A64">
        <w:t>16(2)</w:t>
      </w:r>
      <w:r w:rsidR="00052519" w:rsidRPr="00762A64">
        <w:t xml:space="preserve"> DUE TO</w:t>
      </w:r>
      <w:r w:rsidR="00D9237D" w:rsidRPr="00762A64">
        <w:t xml:space="preserve"> CIRCUMSTANCES </w:t>
      </w:r>
      <w:r w:rsidR="00FC73DF" w:rsidRPr="00762A64">
        <w:t>BEYOND</w:t>
      </w:r>
      <w:r w:rsidR="00052519" w:rsidRPr="00762A64">
        <w:t xml:space="preserve"> </w:t>
      </w:r>
      <w:r w:rsidR="00FC73DF" w:rsidRPr="00762A64">
        <w:t>TH</w:t>
      </w:r>
      <w:r w:rsidR="00D9237D" w:rsidRPr="00762A64">
        <w:t>AT</w:t>
      </w:r>
      <w:r w:rsidR="00052519" w:rsidRPr="00762A64">
        <w:t xml:space="preserve"> </w:t>
      </w:r>
      <w:r w:rsidR="00A454E0" w:rsidRPr="00762A64">
        <w:t>V</w:t>
      </w:r>
      <w:r w:rsidR="00FC73DF" w:rsidRPr="00762A64">
        <w:t>ENDOR</w:t>
      </w:r>
      <w:r w:rsidR="00D9237D" w:rsidRPr="00762A64">
        <w:t>’</w:t>
      </w:r>
      <w:r w:rsidR="00A454E0" w:rsidRPr="00762A64">
        <w:t>S</w:t>
      </w:r>
      <w:r w:rsidR="00FC73DF" w:rsidRPr="00762A64">
        <w:t xml:space="preserve"> CONTROL</w:t>
      </w:r>
    </w:p>
    <w:p w14:paraId="39563970" w14:textId="3A52BA72" w:rsidR="00FE5B66" w:rsidRPr="00762A64" w:rsidRDefault="00FE5B66" w:rsidP="00FE5B66">
      <w:pPr>
        <w:pBdr>
          <w:top w:val="single" w:sz="4" w:space="1" w:color="auto"/>
          <w:left w:val="single" w:sz="4" w:space="4" w:color="auto"/>
          <w:bottom w:val="single" w:sz="4" w:space="1" w:color="auto"/>
          <w:right w:val="single" w:sz="4" w:space="4" w:color="auto"/>
        </w:pBdr>
        <w:ind w:left="1701"/>
        <w:rPr>
          <w:b w:val="0"/>
          <w:bCs/>
          <w:sz w:val="20"/>
        </w:rPr>
      </w:pPr>
      <w:bookmarkStart w:id="0" w:name="_Hlk138937154"/>
      <w:r w:rsidRPr="00762A64">
        <w:rPr>
          <w:b w:val="0"/>
          <w:bCs/>
          <w:sz w:val="20"/>
        </w:rPr>
        <w:t>Use the above statement to serve as a topic heading. If the heading above is insufficient and you want to use different words, limit the subject heading to 80 characters.)</w:t>
      </w:r>
    </w:p>
    <w:bookmarkEnd w:id="0"/>
    <w:p w14:paraId="5DA6792B" w14:textId="17B5AA00" w:rsidR="00430057" w:rsidRPr="00762A64" w:rsidRDefault="00430057" w:rsidP="00E85CBA">
      <w:pPr>
        <w:pStyle w:val="SanH1"/>
        <w:keepNext w:val="0"/>
        <w:widowControl w:val="0"/>
        <w:numPr>
          <w:ilvl w:val="0"/>
          <w:numId w:val="0"/>
        </w:numPr>
        <w:ind w:left="709"/>
      </w:pPr>
      <w:r w:rsidRPr="00762A64">
        <w:rPr>
          <w:i/>
        </w:rPr>
        <w:t>Preamble</w:t>
      </w:r>
    </w:p>
    <w:p w14:paraId="10DA503F" w14:textId="06ABA063" w:rsidR="00CC0541" w:rsidRPr="00762A64" w:rsidRDefault="00CC0541" w:rsidP="00CC0541">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Use the exact wording as </w:t>
      </w:r>
      <w:r>
        <w:rPr>
          <w:sz w:val="20"/>
          <w:szCs w:val="20"/>
        </w:rPr>
        <w:t>below</w:t>
      </w:r>
      <w:r w:rsidRPr="00762A64">
        <w:rPr>
          <w:sz w:val="20"/>
          <w:szCs w:val="20"/>
        </w:rPr>
        <w:t xml:space="preserve"> for this part, modified only based on whether it is a class or private ruling.</w:t>
      </w:r>
    </w:p>
    <w:p w14:paraId="46CBE398" w14:textId="318DB60F" w:rsidR="00430057" w:rsidRPr="00762A64" w:rsidRDefault="00430057" w:rsidP="00E85CBA">
      <w:pPr>
        <w:pStyle w:val="SanNormal"/>
        <w:widowControl w:val="0"/>
      </w:pPr>
      <w:r w:rsidRPr="00762A64">
        <w:t xml:space="preserve">This </w:t>
      </w:r>
      <w:r w:rsidR="00FC73DF" w:rsidRPr="00762A64">
        <w:t>VAT</w:t>
      </w:r>
      <w:r w:rsidR="0007364F" w:rsidRPr="00762A64">
        <w:t xml:space="preserve"> </w:t>
      </w:r>
      <w:r w:rsidR="004E002B" w:rsidRPr="00762A64">
        <w:t>[</w:t>
      </w:r>
      <w:r w:rsidR="0007364F" w:rsidRPr="00762A64">
        <w:t>ruling</w:t>
      </w:r>
      <w:r w:rsidR="00586364" w:rsidRPr="00762A64">
        <w:t>/class ruling</w:t>
      </w:r>
      <w:r w:rsidR="004E002B" w:rsidRPr="00762A64">
        <w:t>]</w:t>
      </w:r>
      <w:r w:rsidR="0007364F" w:rsidRPr="00762A64">
        <w:t xml:space="preserve"> is published with the</w:t>
      </w:r>
      <w:r w:rsidRPr="00762A64">
        <w:t xml:space="preserve"> consent of the </w:t>
      </w:r>
      <w:r w:rsidR="008E56AD" w:rsidRPr="00762A64">
        <w:t>A</w:t>
      </w:r>
      <w:r w:rsidRPr="00762A64">
        <w:t>pplicant(s) to which it h</w:t>
      </w:r>
      <w:r w:rsidR="0007364F" w:rsidRPr="00762A64">
        <w:t xml:space="preserve">as been issued. </w:t>
      </w:r>
      <w:r w:rsidR="00D528D4" w:rsidRPr="00762A64">
        <w:t xml:space="preserve">The ruling </w:t>
      </w:r>
      <w:r w:rsidR="002B7E9D" w:rsidRPr="00762A64">
        <w:t xml:space="preserve">also </w:t>
      </w:r>
      <w:r w:rsidR="00D528D4" w:rsidRPr="00762A64">
        <w:t>constitutes a decision made in accordance with the Commissioner’s discretion under section 16(2)(</w:t>
      </w:r>
      <w:r w:rsidR="00D528D4" w:rsidRPr="00762A64">
        <w:rPr>
          <w:i/>
          <w:iCs/>
        </w:rPr>
        <w:t>g</w:t>
      </w:r>
      <w:r w:rsidR="00D528D4" w:rsidRPr="00762A64">
        <w:t>)</w:t>
      </w:r>
      <w:r w:rsidR="004B5558" w:rsidRPr="00762A64">
        <w:t xml:space="preserve"> and is </w:t>
      </w:r>
      <w:r w:rsidR="0007364F" w:rsidRPr="00762A64">
        <w:t>binding</w:t>
      </w:r>
      <w:r w:rsidRPr="00762A64">
        <w:t xml:space="preserve"> </w:t>
      </w:r>
      <w:r w:rsidR="00D528D4" w:rsidRPr="00762A64">
        <w:t xml:space="preserve">only upon </w:t>
      </w:r>
      <w:r w:rsidRPr="00762A64">
        <w:t xml:space="preserve">SARS and </w:t>
      </w:r>
      <w:r w:rsidR="003108AA" w:rsidRPr="00762A64">
        <w:t xml:space="preserve">applies only to </w:t>
      </w:r>
      <w:r w:rsidRPr="00762A64">
        <w:t xml:space="preserve">the </w:t>
      </w:r>
      <w:r w:rsidR="008E56AD" w:rsidRPr="00762A64">
        <w:t>A</w:t>
      </w:r>
      <w:r w:rsidRPr="00762A64">
        <w:t xml:space="preserve">pplicant and any </w:t>
      </w:r>
      <w:r w:rsidR="008E56AD" w:rsidRPr="00762A64">
        <w:t>C</w:t>
      </w:r>
      <w:r w:rsidRPr="00762A64">
        <w:t>o-applicant(s)</w:t>
      </w:r>
      <w:r w:rsidR="004B5558" w:rsidRPr="00762A64">
        <w:t xml:space="preserve">. This ruling is </w:t>
      </w:r>
      <w:r w:rsidRPr="00762A64">
        <w:t>published for general information</w:t>
      </w:r>
      <w:r w:rsidR="004B5558" w:rsidRPr="00762A64">
        <w:t xml:space="preserve"> and </w:t>
      </w:r>
      <w:r w:rsidRPr="00762A64">
        <w:t>does not constitute a practice generally prevailing.</w:t>
      </w:r>
    </w:p>
    <w:p w14:paraId="26F67AC7" w14:textId="4F3B105D" w:rsidR="0024305D" w:rsidRPr="00762A64" w:rsidRDefault="0064136F" w:rsidP="00E85CBA">
      <w:pPr>
        <w:pStyle w:val="SanH1"/>
        <w:keepNext w:val="0"/>
        <w:widowControl w:val="0"/>
        <w:numPr>
          <w:ilvl w:val="0"/>
          <w:numId w:val="0"/>
        </w:numPr>
        <w:ind w:left="720" w:hanging="720"/>
      </w:pPr>
      <w:r w:rsidRPr="00762A64">
        <w:t>1.</w:t>
      </w:r>
      <w:r w:rsidRPr="00762A64">
        <w:tab/>
      </w:r>
      <w:r w:rsidR="0024305D" w:rsidRPr="00762A64">
        <w:t>Summary</w:t>
      </w:r>
    </w:p>
    <w:p w14:paraId="4384A675" w14:textId="77777777" w:rsidR="00CC0541" w:rsidRPr="00762A64" w:rsidRDefault="00CC0541" w:rsidP="00CC0541">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This part should explain very briefly in a few sentences and on a high level, what this ruling is about as indicated in the subject heading. You can use the wording above as an example of what is required. </w:t>
      </w:r>
    </w:p>
    <w:p w14:paraId="1DD76E4E" w14:textId="334C5294" w:rsidR="005F6E14" w:rsidRPr="00762A64" w:rsidRDefault="00766FF9" w:rsidP="00E85CBA">
      <w:pPr>
        <w:pStyle w:val="SanNormal"/>
        <w:widowControl w:val="0"/>
      </w:pPr>
      <w:r w:rsidRPr="00762A64">
        <w:t xml:space="preserve">This ruling </w:t>
      </w:r>
      <w:r w:rsidR="00D545D4" w:rsidRPr="00762A64">
        <w:t xml:space="preserve">deals with the application of </w:t>
      </w:r>
      <w:bookmarkStart w:id="1" w:name="_Hlk126148968"/>
      <w:r w:rsidR="00D545D4" w:rsidRPr="00762A64">
        <w:t>section 16(2)(</w:t>
      </w:r>
      <w:r w:rsidR="00D545D4" w:rsidRPr="00762A64">
        <w:rPr>
          <w:i/>
          <w:iCs/>
        </w:rPr>
        <w:t>g</w:t>
      </w:r>
      <w:r w:rsidR="00D545D4" w:rsidRPr="00762A64">
        <w:t xml:space="preserve">) </w:t>
      </w:r>
      <w:bookmarkEnd w:id="1"/>
      <w:r w:rsidR="00D545D4" w:rsidRPr="00762A64">
        <w:t xml:space="preserve">which provides that </w:t>
      </w:r>
      <w:r w:rsidR="00B72721" w:rsidRPr="00762A64">
        <w:t>if a vendor was unable, due to circumstances beyond the control</w:t>
      </w:r>
      <w:r w:rsidR="00F9776A" w:rsidRPr="00762A64">
        <w:t xml:space="preserve"> of that vendor</w:t>
      </w:r>
      <w:r w:rsidR="00B72721" w:rsidRPr="00762A64">
        <w:t xml:space="preserve">, to obtain the required documentary proof </w:t>
      </w:r>
      <w:r w:rsidR="00052519" w:rsidRPr="00762A64">
        <w:t>to make</w:t>
      </w:r>
      <w:r w:rsidR="00B72721" w:rsidRPr="00762A64">
        <w:t xml:space="preserve"> a deduction of “input tax” or any other deduction, that vendor may apply </w:t>
      </w:r>
      <w:r w:rsidR="005F6E14" w:rsidRPr="00762A64">
        <w:t xml:space="preserve">to SARS </w:t>
      </w:r>
      <w:r w:rsidR="00B72721" w:rsidRPr="00762A64">
        <w:t xml:space="preserve">for a ruling to allow for other </w:t>
      </w:r>
      <w:r w:rsidR="00D9237D" w:rsidRPr="00762A64">
        <w:t xml:space="preserve">acceptable </w:t>
      </w:r>
      <w:r w:rsidR="00B72721" w:rsidRPr="00762A64">
        <w:t xml:space="preserve">documentary evidence to be held instead. </w:t>
      </w:r>
      <w:r w:rsidR="00160220" w:rsidRPr="00762A64">
        <w:t>It is a requirement that the request for such a ruling must be made no later than two months prior to the expiry of the five-year prescription period referred to in the proviso to section 16(3).</w:t>
      </w:r>
      <w:r w:rsidR="0066332C" w:rsidRPr="00762A64">
        <w:t xml:space="preserve"> </w:t>
      </w:r>
      <w:r w:rsidR="00D9237D" w:rsidRPr="00762A64">
        <w:t>SARS</w:t>
      </w:r>
      <w:r w:rsidR="00B72721" w:rsidRPr="00762A64">
        <w:t xml:space="preserve"> will only entertain such requests </w:t>
      </w:r>
      <w:r w:rsidR="008C27BB" w:rsidRPr="00762A64">
        <w:t xml:space="preserve">under very specific </w:t>
      </w:r>
      <w:r w:rsidR="00B72721" w:rsidRPr="00762A64">
        <w:t xml:space="preserve">circumstances </w:t>
      </w:r>
      <w:r w:rsidR="005F6E14" w:rsidRPr="00762A64">
        <w:t>as a measure of last resort</w:t>
      </w:r>
      <w:r w:rsidR="0066332C" w:rsidRPr="00762A64">
        <w:t xml:space="preserve">. </w:t>
      </w:r>
      <w:r w:rsidR="008C27BB" w:rsidRPr="00762A64">
        <w:t xml:space="preserve"> </w:t>
      </w:r>
    </w:p>
    <w:p w14:paraId="26F67AC9" w14:textId="11A08B84" w:rsidR="0024305D" w:rsidRPr="00762A64" w:rsidRDefault="0064136F" w:rsidP="00E85CBA">
      <w:pPr>
        <w:pStyle w:val="SanH1"/>
        <w:keepNext w:val="0"/>
        <w:widowControl w:val="0"/>
        <w:numPr>
          <w:ilvl w:val="0"/>
          <w:numId w:val="0"/>
        </w:numPr>
        <w:ind w:left="720" w:hanging="720"/>
      </w:pPr>
      <w:r w:rsidRPr="00762A64">
        <w:t>2.</w:t>
      </w:r>
      <w:r w:rsidRPr="00762A64">
        <w:tab/>
      </w:r>
      <w:r w:rsidR="0024305D" w:rsidRPr="00762A64">
        <w:t>Relevant tax laws</w:t>
      </w:r>
    </w:p>
    <w:p w14:paraId="623DC399" w14:textId="0134A865" w:rsidR="00CC0541" w:rsidRPr="00762A64" w:rsidRDefault="00CC0541" w:rsidP="00CC0541">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Use the exact wording as </w:t>
      </w:r>
      <w:r>
        <w:rPr>
          <w:sz w:val="20"/>
          <w:szCs w:val="20"/>
        </w:rPr>
        <w:t>below</w:t>
      </w:r>
      <w:r w:rsidRPr="00762A64">
        <w:rPr>
          <w:sz w:val="20"/>
          <w:szCs w:val="20"/>
        </w:rPr>
        <w:t xml:space="preserve">, followed by a list of the relevant provisions which apply as set out in the example below. </w:t>
      </w:r>
    </w:p>
    <w:p w14:paraId="26F67ACB" w14:textId="077093B8" w:rsidR="0024305D" w:rsidRPr="00762A64" w:rsidRDefault="0024305D" w:rsidP="00E85CBA">
      <w:pPr>
        <w:pStyle w:val="SanNormal"/>
        <w:widowControl w:val="0"/>
      </w:pPr>
      <w:r w:rsidRPr="00762A64">
        <w:lastRenderedPageBreak/>
        <w:t>In this ruling</w:t>
      </w:r>
      <w:r w:rsidR="00E85CBA" w:rsidRPr="00762A64">
        <w:t>,</w:t>
      </w:r>
      <w:r w:rsidRPr="00762A64">
        <w:t xml:space="preserve"> references to sections</w:t>
      </w:r>
      <w:r w:rsidR="003C3072" w:rsidRPr="00762A64">
        <w:t xml:space="preserve"> </w:t>
      </w:r>
      <w:r w:rsidRPr="00762A64">
        <w:t xml:space="preserve">are to sections of the </w:t>
      </w:r>
      <w:r w:rsidR="00E85CBA" w:rsidRPr="00762A64">
        <w:t xml:space="preserve">VAT </w:t>
      </w:r>
      <w:r w:rsidRPr="00762A64">
        <w:t>Act</w:t>
      </w:r>
      <w:r w:rsidR="006D4185" w:rsidRPr="00762A64">
        <w:t xml:space="preserve"> </w:t>
      </w:r>
      <w:r w:rsidRPr="00762A64">
        <w:t xml:space="preserve">applicable as at </w:t>
      </w:r>
      <w:r w:rsidR="00B4628F" w:rsidRPr="00762A64">
        <w:t>[</w:t>
      </w:r>
      <w:r w:rsidR="002B7E9D" w:rsidRPr="00762A64">
        <w:t>date of</w:t>
      </w:r>
      <w:r w:rsidR="00F150DE" w:rsidRPr="00762A64">
        <w:t xml:space="preserve"> </w:t>
      </w:r>
      <w:r w:rsidR="00B751EB" w:rsidRPr="00762A64">
        <w:t xml:space="preserve">the </w:t>
      </w:r>
      <w:r w:rsidR="00F150DE" w:rsidRPr="00762A64">
        <w:t>actual</w:t>
      </w:r>
      <w:r w:rsidR="002B7E9D" w:rsidRPr="00762A64">
        <w:t xml:space="preserve"> ruling</w:t>
      </w:r>
      <w:r w:rsidR="00B751EB" w:rsidRPr="00762A64">
        <w:t xml:space="preserve"> of which this is the sanitised version</w:t>
      </w:r>
      <w:r w:rsidR="00B4628F" w:rsidRPr="00762A64">
        <w:t>]</w:t>
      </w:r>
      <w:r w:rsidR="004C62AE" w:rsidRPr="00762A64">
        <w:t>.</w:t>
      </w:r>
      <w:r w:rsidRPr="00762A64">
        <w:t xml:space="preserve"> </w:t>
      </w:r>
      <w:r w:rsidR="004C62AE" w:rsidRPr="00762A64">
        <w:t>U</w:t>
      </w:r>
      <w:r w:rsidRPr="00762A64">
        <w:t>nless the context indicates otherwise</w:t>
      </w:r>
      <w:r w:rsidR="000531F5" w:rsidRPr="00762A64">
        <w:t>,</w:t>
      </w:r>
      <w:r w:rsidRPr="00762A64">
        <w:t xml:space="preserve"> any word or expression in this ruling bears the meaning ascribed to it in the </w:t>
      </w:r>
      <w:r w:rsidR="000531F5" w:rsidRPr="00762A64">
        <w:t xml:space="preserve">VAT </w:t>
      </w:r>
      <w:r w:rsidRPr="00762A64">
        <w:t>Act</w:t>
      </w:r>
      <w:r w:rsidR="003B384F" w:rsidRPr="00762A64">
        <w:t>.</w:t>
      </w:r>
      <w:r w:rsidR="000E0C5B" w:rsidRPr="00762A64">
        <w:t xml:space="preserve"> </w:t>
      </w:r>
    </w:p>
    <w:p w14:paraId="3F3ED1E3" w14:textId="111B7933" w:rsidR="00E12868" w:rsidRPr="00762A64" w:rsidRDefault="00523DAB" w:rsidP="00E12868">
      <w:pPr>
        <w:pStyle w:val="SanB1"/>
        <w:numPr>
          <w:ilvl w:val="0"/>
          <w:numId w:val="0"/>
        </w:numPr>
        <w:ind w:left="720"/>
      </w:pPr>
      <w:r w:rsidRPr="00762A64">
        <w:t xml:space="preserve">This is a ruling </w:t>
      </w:r>
      <w:r w:rsidR="000531F5" w:rsidRPr="00762A64">
        <w:t>and a decision based on the Commissioner’s discretion</w:t>
      </w:r>
      <w:r w:rsidR="00B751EB" w:rsidRPr="00762A64">
        <w:t xml:space="preserve"> </w:t>
      </w:r>
      <w:r w:rsidRPr="00762A64">
        <w:t xml:space="preserve">on the application of </w:t>
      </w:r>
      <w:r w:rsidR="000531F5" w:rsidRPr="00762A64">
        <w:t>the following sections of the VAT Act</w:t>
      </w:r>
      <w:r w:rsidR="003821AA" w:rsidRPr="00762A64">
        <w:t>:</w:t>
      </w:r>
    </w:p>
    <w:p w14:paraId="4EB16B20" w14:textId="66056354" w:rsidR="00A4439B" w:rsidRPr="00762A64" w:rsidRDefault="003821AA" w:rsidP="00F150DE">
      <w:pPr>
        <w:pStyle w:val="SanB1"/>
        <w:keepNext w:val="0"/>
        <w:widowControl w:val="0"/>
        <w:numPr>
          <w:ilvl w:val="0"/>
          <w:numId w:val="11"/>
        </w:numPr>
        <w:shd w:val="clear" w:color="auto" w:fill="FFFFFF" w:themeFill="background1"/>
        <w:ind w:left="1434" w:hanging="357"/>
      </w:pPr>
      <w:r w:rsidRPr="00762A64">
        <w:t>S</w:t>
      </w:r>
      <w:r w:rsidR="00A4439B" w:rsidRPr="00762A64">
        <w:t>ection 1(1) – definition of “input tax”</w:t>
      </w:r>
      <w:bookmarkStart w:id="2" w:name="_Hlk126152045"/>
      <w:r w:rsidR="00586364" w:rsidRPr="00762A64">
        <w:t xml:space="preserve">; </w:t>
      </w:r>
      <w:r w:rsidR="00A4439B" w:rsidRPr="00762A64">
        <w:t>be specific if necessary</w:t>
      </w:r>
      <w:bookmarkEnd w:id="2"/>
      <w:r w:rsidR="00586364" w:rsidRPr="00762A64">
        <w:t xml:space="preserve"> –</w:t>
      </w:r>
      <w:r w:rsidR="00A4439B" w:rsidRPr="00762A64">
        <w:t xml:space="preserve"> </w:t>
      </w:r>
      <w:r w:rsidR="007B579D" w:rsidRPr="00762A64">
        <w:t>e.g.,</w:t>
      </w:r>
      <w:r w:rsidR="00A4439B" w:rsidRPr="00762A64">
        <w:t xml:space="preserve"> para</w:t>
      </w:r>
      <w:r w:rsidR="00586364" w:rsidRPr="00762A64">
        <w:t>graph</w:t>
      </w:r>
      <w:r w:rsidR="00A4439B" w:rsidRPr="00762A64">
        <w:t xml:space="preserve"> (</w:t>
      </w:r>
      <w:r w:rsidR="00A4439B" w:rsidRPr="00762A64">
        <w:rPr>
          <w:i/>
          <w:iCs/>
        </w:rPr>
        <w:t>b</w:t>
      </w:r>
      <w:r w:rsidR="00A4439B" w:rsidRPr="00762A64">
        <w:t>)</w:t>
      </w:r>
      <w:r w:rsidR="00B4628F" w:rsidRPr="00762A64">
        <w:t>]</w:t>
      </w:r>
    </w:p>
    <w:p w14:paraId="07678465" w14:textId="77C08A7E" w:rsidR="00A4439B" w:rsidRPr="00762A64" w:rsidRDefault="003821AA" w:rsidP="00F150DE">
      <w:pPr>
        <w:pStyle w:val="SanB1"/>
        <w:keepNext w:val="0"/>
        <w:widowControl w:val="0"/>
        <w:numPr>
          <w:ilvl w:val="0"/>
          <w:numId w:val="11"/>
        </w:numPr>
        <w:shd w:val="clear" w:color="auto" w:fill="FFFFFF" w:themeFill="background1"/>
        <w:ind w:left="1434" w:hanging="357"/>
      </w:pPr>
      <w:r w:rsidRPr="00762A64">
        <w:t>S</w:t>
      </w:r>
      <w:r w:rsidR="00A4439B" w:rsidRPr="00762A64">
        <w:t xml:space="preserve">ection 15; </w:t>
      </w:r>
      <w:r w:rsidR="00B4628F" w:rsidRPr="00762A64">
        <w:t>[</w:t>
      </w:r>
      <w:r w:rsidR="00A4439B" w:rsidRPr="00762A64">
        <w:t>be specific if necessary</w:t>
      </w:r>
      <w:r w:rsidR="00B4628F" w:rsidRPr="00762A64">
        <w:t>]</w:t>
      </w:r>
    </w:p>
    <w:p w14:paraId="294EBB09" w14:textId="308E0314" w:rsidR="00A4439B" w:rsidRPr="00762A64" w:rsidRDefault="003821AA" w:rsidP="00F150DE">
      <w:pPr>
        <w:pStyle w:val="SanB1"/>
        <w:keepNext w:val="0"/>
        <w:widowControl w:val="0"/>
        <w:numPr>
          <w:ilvl w:val="0"/>
          <w:numId w:val="11"/>
        </w:numPr>
        <w:shd w:val="clear" w:color="auto" w:fill="FFFFFF" w:themeFill="background1"/>
        <w:ind w:left="1434" w:hanging="357"/>
      </w:pPr>
      <w:r w:rsidRPr="00762A64">
        <w:t>S</w:t>
      </w:r>
      <w:r w:rsidR="00A4439B" w:rsidRPr="00762A64">
        <w:t>ection 16(2)(</w:t>
      </w:r>
      <w:r w:rsidR="00A4439B" w:rsidRPr="00762A64">
        <w:rPr>
          <w:i/>
          <w:iCs/>
        </w:rPr>
        <w:t>a</w:t>
      </w:r>
      <w:r w:rsidR="00A4439B" w:rsidRPr="00762A64">
        <w:t>), (</w:t>
      </w:r>
      <w:r w:rsidR="00A4439B" w:rsidRPr="00762A64">
        <w:rPr>
          <w:i/>
          <w:iCs/>
        </w:rPr>
        <w:t>b</w:t>
      </w:r>
      <w:r w:rsidR="00A4439B" w:rsidRPr="00762A64">
        <w:t>), (</w:t>
      </w:r>
      <w:r w:rsidR="00A4439B" w:rsidRPr="00762A64">
        <w:rPr>
          <w:i/>
          <w:iCs/>
        </w:rPr>
        <w:t>c</w:t>
      </w:r>
      <w:r w:rsidR="00A4439B" w:rsidRPr="00762A64">
        <w:t>), (</w:t>
      </w:r>
      <w:r w:rsidR="00A4439B" w:rsidRPr="00762A64">
        <w:rPr>
          <w:i/>
          <w:iCs/>
        </w:rPr>
        <w:t>e</w:t>
      </w:r>
      <w:r w:rsidR="00A4439B" w:rsidRPr="00762A64">
        <w:t>) or (</w:t>
      </w:r>
      <w:r w:rsidR="00A4439B" w:rsidRPr="00762A64">
        <w:rPr>
          <w:i/>
          <w:iCs/>
        </w:rPr>
        <w:t>f</w:t>
      </w:r>
      <w:r w:rsidR="00A4439B" w:rsidRPr="00762A64">
        <w:t xml:space="preserve">); </w:t>
      </w:r>
      <w:r w:rsidR="00B4628F" w:rsidRPr="00762A64">
        <w:t>[</w:t>
      </w:r>
      <w:r w:rsidR="00A4439B" w:rsidRPr="00762A64">
        <w:t>quote relevant sub-paragraph applicable in this case</w:t>
      </w:r>
      <w:r w:rsidR="00B4628F" w:rsidRPr="00762A64">
        <w:t>]</w:t>
      </w:r>
    </w:p>
    <w:p w14:paraId="4C69FF6B" w14:textId="5318E11E" w:rsidR="00A4439B" w:rsidRPr="00762A64" w:rsidRDefault="003821AA" w:rsidP="00F150DE">
      <w:pPr>
        <w:pStyle w:val="SanB1"/>
        <w:keepNext w:val="0"/>
        <w:widowControl w:val="0"/>
        <w:numPr>
          <w:ilvl w:val="0"/>
          <w:numId w:val="11"/>
        </w:numPr>
        <w:shd w:val="clear" w:color="auto" w:fill="FFFFFF" w:themeFill="background1"/>
        <w:ind w:left="1434" w:hanging="357"/>
      </w:pPr>
      <w:r w:rsidRPr="00762A64">
        <w:t>S</w:t>
      </w:r>
      <w:r w:rsidR="00A4439B" w:rsidRPr="00762A64">
        <w:t>ection 16(2)(</w:t>
      </w:r>
      <w:r w:rsidR="00A4439B" w:rsidRPr="00762A64">
        <w:rPr>
          <w:i/>
          <w:iCs/>
        </w:rPr>
        <w:t>g</w:t>
      </w:r>
      <w:r w:rsidR="00A4439B" w:rsidRPr="00762A64">
        <w:t>);</w:t>
      </w:r>
    </w:p>
    <w:p w14:paraId="197879B9" w14:textId="7C812758" w:rsidR="00A4439B" w:rsidRPr="00762A64" w:rsidRDefault="003821AA" w:rsidP="00F150DE">
      <w:pPr>
        <w:pStyle w:val="SanB1"/>
        <w:keepNext w:val="0"/>
        <w:widowControl w:val="0"/>
        <w:numPr>
          <w:ilvl w:val="0"/>
          <w:numId w:val="11"/>
        </w:numPr>
        <w:shd w:val="clear" w:color="auto" w:fill="FFFFFF" w:themeFill="background1"/>
        <w:ind w:left="1434" w:hanging="357"/>
      </w:pPr>
      <w:bookmarkStart w:id="3" w:name="_Hlk126147053"/>
      <w:r w:rsidRPr="00762A64">
        <w:t>S</w:t>
      </w:r>
      <w:r w:rsidR="00A4439B" w:rsidRPr="00762A64">
        <w:t>ection 16(3)(</w:t>
      </w:r>
      <w:r w:rsidR="00A4439B" w:rsidRPr="00762A64">
        <w:rPr>
          <w:i/>
          <w:iCs/>
        </w:rPr>
        <w:t>a</w:t>
      </w:r>
      <w:r w:rsidR="00A4439B" w:rsidRPr="00762A64">
        <w:t xml:space="preserve">); </w:t>
      </w:r>
      <w:r w:rsidR="00B4628F" w:rsidRPr="00762A64">
        <w:t>[</w:t>
      </w:r>
      <w:r w:rsidR="00A4439B" w:rsidRPr="00762A64">
        <w:t>or other relevant sub-paragraph</w:t>
      </w:r>
      <w:r w:rsidR="00B4628F" w:rsidRPr="00762A64">
        <w:t>]</w:t>
      </w:r>
    </w:p>
    <w:bookmarkEnd w:id="3"/>
    <w:p w14:paraId="3DE27D7B" w14:textId="6B85CFD0" w:rsidR="00A4439B" w:rsidRPr="00762A64" w:rsidRDefault="003821AA" w:rsidP="00F150DE">
      <w:pPr>
        <w:pStyle w:val="ListParagraph"/>
        <w:widowControl w:val="0"/>
        <w:numPr>
          <w:ilvl w:val="0"/>
          <w:numId w:val="11"/>
        </w:numPr>
        <w:shd w:val="clear" w:color="auto" w:fill="FFFFFF" w:themeFill="background1"/>
        <w:spacing w:before="0" w:after="120"/>
        <w:ind w:left="1434" w:hanging="357"/>
      </w:pPr>
      <w:r w:rsidRPr="00762A64">
        <w:rPr>
          <w:lang w:val="en-GB" w:eastAsia="en-GB"/>
        </w:rPr>
        <w:t>T</w:t>
      </w:r>
      <w:r w:rsidR="00A4439B" w:rsidRPr="00762A64">
        <w:rPr>
          <w:lang w:val="en-GB" w:eastAsia="en-GB"/>
        </w:rPr>
        <w:t xml:space="preserve">he proviso to section 16(3); </w:t>
      </w:r>
      <w:r w:rsidR="00B4628F" w:rsidRPr="00762A64">
        <w:rPr>
          <w:lang w:val="en-GB" w:eastAsia="en-GB"/>
        </w:rPr>
        <w:t>[</w:t>
      </w:r>
      <w:r w:rsidR="00A4439B" w:rsidRPr="00762A64">
        <w:rPr>
          <w:lang w:val="en-GB" w:eastAsia="en-GB"/>
        </w:rPr>
        <w:t>quote specific sub-paragraph if necessary</w:t>
      </w:r>
      <w:r w:rsidR="00B4628F" w:rsidRPr="00762A64">
        <w:rPr>
          <w:lang w:val="en-GB" w:eastAsia="en-GB"/>
        </w:rPr>
        <w:t>]</w:t>
      </w:r>
    </w:p>
    <w:p w14:paraId="34F4B844" w14:textId="07824D9A" w:rsidR="00A4439B" w:rsidRPr="00762A64" w:rsidRDefault="003821AA" w:rsidP="00F150DE">
      <w:pPr>
        <w:pStyle w:val="ListParagraph"/>
        <w:widowControl w:val="0"/>
        <w:numPr>
          <w:ilvl w:val="0"/>
          <w:numId w:val="11"/>
        </w:numPr>
        <w:shd w:val="clear" w:color="auto" w:fill="FFFFFF" w:themeFill="background1"/>
        <w:spacing w:before="0" w:after="120"/>
        <w:ind w:left="1434" w:hanging="357"/>
      </w:pPr>
      <w:r w:rsidRPr="00762A64">
        <w:t>S</w:t>
      </w:r>
      <w:r w:rsidR="00A4439B" w:rsidRPr="00762A64">
        <w:t>ection 20(1); and</w:t>
      </w:r>
    </w:p>
    <w:p w14:paraId="2B4DE7B7" w14:textId="2CE7B8A1" w:rsidR="00A4439B" w:rsidRPr="00762A64" w:rsidRDefault="003821AA" w:rsidP="00F150DE">
      <w:pPr>
        <w:pStyle w:val="SanB1"/>
        <w:keepNext w:val="0"/>
        <w:widowControl w:val="0"/>
        <w:numPr>
          <w:ilvl w:val="0"/>
          <w:numId w:val="11"/>
        </w:numPr>
        <w:shd w:val="clear" w:color="auto" w:fill="FFFFFF" w:themeFill="background1"/>
        <w:ind w:left="1434" w:hanging="357"/>
      </w:pPr>
      <w:r w:rsidRPr="00762A64">
        <w:t>S</w:t>
      </w:r>
      <w:r w:rsidR="00A4439B" w:rsidRPr="00762A64">
        <w:t xml:space="preserve">ection 20(4). </w:t>
      </w:r>
    </w:p>
    <w:p w14:paraId="7530B919" w14:textId="77777777" w:rsidR="00A4439B" w:rsidRPr="00762A64" w:rsidRDefault="00A4439B" w:rsidP="00A4439B">
      <w:pPr>
        <w:pStyle w:val="SanH1"/>
        <w:keepNext w:val="0"/>
        <w:widowControl w:val="0"/>
        <w:numPr>
          <w:ilvl w:val="0"/>
          <w:numId w:val="0"/>
        </w:numPr>
        <w:ind w:left="720" w:hanging="720"/>
      </w:pPr>
      <w:r w:rsidRPr="00762A64">
        <w:t>3.</w:t>
      </w:r>
      <w:r w:rsidRPr="00762A64">
        <w:tab/>
        <w:t>Parties to the application</w:t>
      </w:r>
    </w:p>
    <w:p w14:paraId="0F7FC04C" w14:textId="7108C9B5" w:rsidR="00FE5B66" w:rsidRPr="00762A64" w:rsidRDefault="00FE5B66" w:rsidP="00FE5B66">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4" w:name="_Hlk139020678"/>
      <w:bookmarkStart w:id="5" w:name="_Hlk138951382"/>
      <w:r w:rsidRPr="00762A64">
        <w:rPr>
          <w:sz w:val="20"/>
          <w:szCs w:val="20"/>
        </w:rPr>
        <w:t xml:space="preserve">Under section 87(1) of the Tax Administration Act 28 of 2011, SARS must publish binding rulings for informational purposes to the general public in order to ensure a level playing field for all taxpayers. The ruling must be published in a form that does not reveal the identity of the Applicant or other parties to the transaction (confidential information). Therefore, exclude any confidential information from parts 3 and 4 of this template which may reveal the </w:t>
      </w:r>
      <w:r w:rsidR="00DF5205" w:rsidRPr="00762A64">
        <w:rPr>
          <w:sz w:val="20"/>
          <w:szCs w:val="20"/>
        </w:rPr>
        <w:t>identity</w:t>
      </w:r>
      <w:r w:rsidRPr="00762A64">
        <w:rPr>
          <w:sz w:val="20"/>
          <w:szCs w:val="20"/>
        </w:rPr>
        <w:t xml:space="preserve"> of the Applicant(s).</w:t>
      </w:r>
    </w:p>
    <w:p w14:paraId="3300CF38" w14:textId="77777777" w:rsidR="00FE5B66" w:rsidRPr="00762A64" w:rsidRDefault="00FE5B66" w:rsidP="00FE5B66">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The relevant industry is required for internal purposes but will not be published if it reveals the identities of the parties. </w:t>
      </w:r>
    </w:p>
    <w:p w14:paraId="411A663E" w14:textId="77777777" w:rsidR="00FE5B66" w:rsidRPr="00762A64" w:rsidRDefault="00FE5B66" w:rsidP="00FE5B66">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6" w:name="_Hlk138937890"/>
      <w:r w:rsidRPr="00762A64">
        <w:rPr>
          <w:sz w:val="20"/>
          <w:szCs w:val="20"/>
        </w:rPr>
        <w:t>Set out the information as per the example below to describe the Applicant(s) and mention the relevant industry concerned</w:t>
      </w:r>
      <w:bookmarkEnd w:id="4"/>
      <w:r w:rsidRPr="00762A64">
        <w:rPr>
          <w:sz w:val="20"/>
          <w:szCs w:val="20"/>
        </w:rPr>
        <w:t>.</w:t>
      </w:r>
    </w:p>
    <w:bookmarkEnd w:id="5"/>
    <w:bookmarkEnd w:id="6"/>
    <w:p w14:paraId="6939DD6E" w14:textId="23AECBA2" w:rsidR="00A4439B" w:rsidRPr="00762A64" w:rsidRDefault="00A4439B" w:rsidP="00A4439B">
      <w:pPr>
        <w:pStyle w:val="SanParties"/>
        <w:widowControl w:val="0"/>
      </w:pPr>
      <w:r w:rsidRPr="00762A64">
        <w:t xml:space="preserve">The </w:t>
      </w:r>
      <w:r w:rsidR="00B751EB" w:rsidRPr="00762A64">
        <w:t>A</w:t>
      </w:r>
      <w:r w:rsidRPr="00762A64">
        <w:t>pplicant:</w:t>
      </w:r>
      <w:r w:rsidRPr="00762A64">
        <w:tab/>
      </w:r>
      <w:r w:rsidR="00B4628F" w:rsidRPr="00762A64">
        <w:t>[</w:t>
      </w:r>
      <w:proofErr w:type="gramStart"/>
      <w:r w:rsidR="00B4628F" w:rsidRPr="00762A64">
        <w:t>E.g.</w:t>
      </w:r>
      <w:proofErr w:type="gramEnd"/>
      <w:r w:rsidR="00B4628F" w:rsidRPr="00762A64">
        <w:t xml:space="preserve"> </w:t>
      </w:r>
      <w:r w:rsidRPr="00762A64">
        <w:t>A listed company incorporated in and a resident of the Republic</w:t>
      </w:r>
      <w:r w:rsidR="00B4628F" w:rsidRPr="00762A64">
        <w:t>]</w:t>
      </w:r>
      <w:r w:rsidRPr="00762A64">
        <w:t xml:space="preserve"> </w:t>
      </w:r>
    </w:p>
    <w:p w14:paraId="7784ECC9" w14:textId="77777777" w:rsidR="00FE5B66" w:rsidRPr="00762A64" w:rsidRDefault="00FE5B66" w:rsidP="00FE5B66">
      <w:pPr>
        <w:pStyle w:val="SanParties"/>
        <w:pBdr>
          <w:top w:val="single" w:sz="4" w:space="1" w:color="auto"/>
          <w:left w:val="single" w:sz="4" w:space="4" w:color="auto"/>
          <w:bottom w:val="single" w:sz="4" w:space="1" w:color="auto"/>
          <w:right w:val="single" w:sz="4" w:space="4" w:color="auto"/>
        </w:pBdr>
        <w:ind w:firstLine="0"/>
        <w:rPr>
          <w:sz w:val="20"/>
          <w:szCs w:val="20"/>
        </w:rPr>
      </w:pPr>
      <w:bookmarkStart w:id="7" w:name="_Hlk139007219"/>
      <w:r w:rsidRPr="00762A64">
        <w:rPr>
          <w:sz w:val="20"/>
          <w:szCs w:val="20"/>
        </w:rPr>
        <w:t xml:space="preserve">In the case of a class, a description of the class. </w:t>
      </w:r>
      <w:proofErr w:type="gramStart"/>
      <w:r w:rsidRPr="00762A64">
        <w:rPr>
          <w:sz w:val="20"/>
          <w:szCs w:val="20"/>
        </w:rPr>
        <w:t>e.g.</w:t>
      </w:r>
      <w:proofErr w:type="gramEnd"/>
      <w:r w:rsidRPr="00762A64">
        <w:rPr>
          <w:sz w:val="20"/>
          <w:szCs w:val="20"/>
        </w:rPr>
        <w:t xml:space="preserve"> a group of companies incorporated and resident in the Republic, members of an association </w:t>
      </w:r>
      <w:bookmarkEnd w:id="7"/>
      <w:r w:rsidRPr="00762A64">
        <w:rPr>
          <w:sz w:val="20"/>
          <w:szCs w:val="20"/>
        </w:rPr>
        <w:t>etc.</w:t>
      </w:r>
    </w:p>
    <w:p w14:paraId="2262BFCE" w14:textId="77777777" w:rsidR="00A4439B" w:rsidRPr="00762A64" w:rsidRDefault="00A4439B" w:rsidP="00A4439B">
      <w:pPr>
        <w:pStyle w:val="SanH1"/>
        <w:keepNext w:val="0"/>
        <w:widowControl w:val="0"/>
        <w:numPr>
          <w:ilvl w:val="0"/>
          <w:numId w:val="0"/>
        </w:numPr>
        <w:ind w:left="720" w:hanging="720"/>
      </w:pPr>
      <w:r w:rsidRPr="00762A64">
        <w:t>4.</w:t>
      </w:r>
      <w:r w:rsidRPr="00762A64">
        <w:tab/>
        <w:t xml:space="preserve">Background and facts </w:t>
      </w:r>
    </w:p>
    <w:p w14:paraId="0CD67D23" w14:textId="5CC94B33" w:rsidR="00C93872" w:rsidRPr="00762A64" w:rsidRDefault="00C93872" w:rsidP="00C93872">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8" w:name="_Hlk139023498"/>
      <w:bookmarkStart w:id="9" w:name="_Hlk139017897"/>
      <w:r w:rsidRPr="00762A64">
        <w:rPr>
          <w:sz w:val="20"/>
          <w:szCs w:val="20"/>
        </w:rPr>
        <w:t>The background should provide sufficient contextual and factual</w:t>
      </w:r>
      <w:r w:rsidR="008E56AD" w:rsidRPr="00762A64">
        <w:rPr>
          <w:sz w:val="20"/>
          <w:szCs w:val="20"/>
        </w:rPr>
        <w:t xml:space="preserve"> </w:t>
      </w:r>
      <w:r w:rsidRPr="00762A64">
        <w:rPr>
          <w:sz w:val="20"/>
          <w:szCs w:val="20"/>
        </w:rPr>
        <w:t xml:space="preserve">information in a summarised form so that the reader can understand </w:t>
      </w:r>
      <w:r w:rsidR="008E7CC5" w:rsidRPr="00762A64">
        <w:rPr>
          <w:sz w:val="20"/>
          <w:szCs w:val="20"/>
        </w:rPr>
        <w:t>the situation of the vendor and the facts and circumstances concerning why there is a need for the ruling.</w:t>
      </w:r>
    </w:p>
    <w:bookmarkEnd w:id="8"/>
    <w:p w14:paraId="1B8B61B6" w14:textId="77777777" w:rsidR="00C93872" w:rsidRPr="00762A64" w:rsidRDefault="00C93872" w:rsidP="00C93872">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762A64">
        <w:rPr>
          <w:sz w:val="20"/>
          <w:szCs w:val="20"/>
        </w:rPr>
        <w:t xml:space="preserve">For example, include </w:t>
      </w:r>
      <w:r w:rsidRPr="00762A64">
        <w:rPr>
          <w:sz w:val="20"/>
          <w:szCs w:val="20"/>
        </w:rPr>
        <w:noBreakHyphen/>
        <w:t xml:space="preserve"> </w:t>
      </w:r>
    </w:p>
    <w:p w14:paraId="4D304D39" w14:textId="3296FB18" w:rsidR="00C93872" w:rsidRPr="00762A64" w:rsidRDefault="00C93872" w:rsidP="00C93872">
      <w:pPr>
        <w:pStyle w:val="SanNormal"/>
        <w:widowControl w:val="0"/>
        <w:numPr>
          <w:ilvl w:val="0"/>
          <w:numId w:val="14"/>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762A64">
        <w:rPr>
          <w:sz w:val="20"/>
          <w:szCs w:val="20"/>
        </w:rPr>
        <w:t xml:space="preserve">the </w:t>
      </w:r>
      <w:r w:rsidRPr="00762A64">
        <w:rPr>
          <w:b/>
          <w:bCs/>
          <w:sz w:val="20"/>
          <w:szCs w:val="20"/>
        </w:rPr>
        <w:t>pertinent facts</w:t>
      </w:r>
      <w:r w:rsidRPr="00762A64">
        <w:rPr>
          <w:sz w:val="20"/>
          <w:szCs w:val="20"/>
        </w:rPr>
        <w:t xml:space="preserve"> of the matter to allow the reader to understand the circumstances of the vendor(s) and the transaction(s) and the reason why the ruling is required; </w:t>
      </w:r>
    </w:p>
    <w:p w14:paraId="510F4FD5" w14:textId="55CF2CFE" w:rsidR="00C93872" w:rsidRPr="00762A64" w:rsidRDefault="00C93872" w:rsidP="00C93872">
      <w:pPr>
        <w:pStyle w:val="SanNormal"/>
        <w:widowControl w:val="0"/>
        <w:numPr>
          <w:ilvl w:val="0"/>
          <w:numId w:val="14"/>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762A64">
        <w:rPr>
          <w:sz w:val="20"/>
          <w:szCs w:val="20"/>
        </w:rPr>
        <w:t xml:space="preserve">the </w:t>
      </w:r>
      <w:r w:rsidRPr="00762A64">
        <w:rPr>
          <w:b/>
          <w:bCs/>
          <w:sz w:val="20"/>
          <w:szCs w:val="20"/>
        </w:rPr>
        <w:t>necessary context</w:t>
      </w:r>
      <w:r w:rsidRPr="00762A64">
        <w:rPr>
          <w:sz w:val="20"/>
          <w:szCs w:val="20"/>
        </w:rPr>
        <w:t xml:space="preserve">. You do not need to mention specifics likes dates, places, descriptive details, amounts, etc. except where necessary and only insofar as it relates to the outcome or to provide </w:t>
      </w:r>
      <w:r w:rsidR="008E7CC5" w:rsidRPr="00762A64">
        <w:rPr>
          <w:sz w:val="20"/>
          <w:szCs w:val="20"/>
        </w:rPr>
        <w:t xml:space="preserve">the </w:t>
      </w:r>
      <w:r w:rsidRPr="00762A64">
        <w:rPr>
          <w:sz w:val="20"/>
          <w:szCs w:val="20"/>
        </w:rPr>
        <w:t>necessary context. (For example, if it relates to the calculation of the 5-year prescription period or the 2-month period before prescription when applying for the ruling under section 16(2)(</w:t>
      </w:r>
      <w:r w:rsidRPr="00762A64">
        <w:rPr>
          <w:i/>
          <w:iCs/>
          <w:sz w:val="20"/>
          <w:szCs w:val="20"/>
        </w:rPr>
        <w:t>g</w:t>
      </w:r>
      <w:r w:rsidRPr="00762A64">
        <w:rPr>
          <w:sz w:val="20"/>
          <w:szCs w:val="20"/>
        </w:rPr>
        <w:t xml:space="preserve">), then it may be necessary to mention the dates and to show the calculations proving that prescription does not apply.)  </w:t>
      </w:r>
    </w:p>
    <w:p w14:paraId="53768D32" w14:textId="4E1F95CD" w:rsidR="00C93872" w:rsidRPr="00762A64" w:rsidRDefault="00C93872" w:rsidP="00C93872">
      <w:pPr>
        <w:pStyle w:val="SanNormal"/>
        <w:widowControl w:val="0"/>
        <w:numPr>
          <w:ilvl w:val="0"/>
          <w:numId w:val="14"/>
        </w:numPr>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the </w:t>
      </w:r>
      <w:r w:rsidRPr="00762A64">
        <w:rPr>
          <w:b/>
          <w:bCs/>
          <w:sz w:val="20"/>
          <w:szCs w:val="20"/>
        </w:rPr>
        <w:t>industry</w:t>
      </w:r>
      <w:r w:rsidRPr="00762A64">
        <w:rPr>
          <w:sz w:val="20"/>
          <w:szCs w:val="20"/>
        </w:rPr>
        <w:t xml:space="preserve"> of the vendor/class should be mentioned.</w:t>
      </w:r>
    </w:p>
    <w:p w14:paraId="0613A9CF" w14:textId="61392208" w:rsidR="00C93872" w:rsidRPr="00762A64" w:rsidRDefault="00C93872" w:rsidP="00C93872">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As per paragraph 3 above, do not include any confidential information in Part 4 of this template which may reveal the identity of the Applicant(s).</w:t>
      </w:r>
    </w:p>
    <w:p w14:paraId="3B661A3B" w14:textId="30F5D954" w:rsidR="00C93872" w:rsidRPr="00E1635A" w:rsidRDefault="00C93872" w:rsidP="00C93872">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The example below will give you an indication of the type of information that is required. Note the key points covered </w:t>
      </w:r>
      <w:r w:rsidR="001A4509" w:rsidRPr="00762A64">
        <w:rPr>
          <w:sz w:val="20"/>
          <w:szCs w:val="20"/>
        </w:rPr>
        <w:t xml:space="preserve">in the example which demonstrate that </w:t>
      </w:r>
      <w:r w:rsidRPr="00762A64">
        <w:rPr>
          <w:sz w:val="20"/>
          <w:szCs w:val="20"/>
        </w:rPr>
        <w:t>the requirements in section 16(2)(</w:t>
      </w:r>
      <w:r w:rsidRPr="00762A64">
        <w:rPr>
          <w:i/>
          <w:iCs/>
          <w:sz w:val="20"/>
          <w:szCs w:val="20"/>
        </w:rPr>
        <w:t>g</w:t>
      </w:r>
      <w:r w:rsidRPr="00762A64">
        <w:rPr>
          <w:sz w:val="20"/>
          <w:szCs w:val="20"/>
        </w:rPr>
        <w:t>) are met.</w:t>
      </w:r>
    </w:p>
    <w:bookmarkEnd w:id="9"/>
    <w:p w14:paraId="0C7CF3A1" w14:textId="260AED1C" w:rsidR="00733833" w:rsidRPr="00B4628F" w:rsidRDefault="00733833" w:rsidP="00D77889">
      <w:pPr>
        <w:pStyle w:val="SanNormal"/>
        <w:widowControl w:val="0"/>
        <w:shd w:val="clear" w:color="auto" w:fill="D9D9D9" w:themeFill="background1" w:themeFillShade="D9"/>
        <w:spacing w:before="240"/>
        <w:rPr>
          <w:b/>
          <w:bCs/>
        </w:rPr>
      </w:pPr>
      <w:r w:rsidRPr="00B4628F">
        <w:rPr>
          <w:b/>
          <w:bCs/>
        </w:rPr>
        <w:t>Example</w:t>
      </w:r>
    </w:p>
    <w:p w14:paraId="309B0C48" w14:textId="23DB071A" w:rsidR="00733833" w:rsidRPr="00B4628F" w:rsidRDefault="00733833" w:rsidP="00D77889">
      <w:pPr>
        <w:pStyle w:val="SanNormal"/>
        <w:widowControl w:val="0"/>
        <w:shd w:val="clear" w:color="auto" w:fill="D9D9D9" w:themeFill="background1" w:themeFillShade="D9"/>
        <w:spacing w:before="240"/>
      </w:pPr>
      <w:r w:rsidRPr="00B4628F">
        <w:t>The Applicant entered into a transaction whereby an extruder machine used in the manufacture of plastic bags was purchased from Company B. The machine was delivered two months after placing the order, but the tax invoice did not accompany the delivery. Only a delivery note was issued at the time. The supplier was insistent that the tax invoice would only be issued upon full payment of the purchase price and that such payment was to be made within 30 days of delivery by way of</w:t>
      </w:r>
      <w:r w:rsidR="00586364">
        <w:t xml:space="preserve"> electronic funds transfer</w:t>
      </w:r>
      <w:r w:rsidRPr="00B4628F">
        <w:t xml:space="preserve">. The Applicant paid the full purchase price within the 30-day period allowed by Vendor B. </w:t>
      </w:r>
    </w:p>
    <w:p w14:paraId="4732E0C0" w14:textId="77777777" w:rsidR="00733833" w:rsidRPr="00B4628F" w:rsidRDefault="00733833" w:rsidP="00D77889">
      <w:pPr>
        <w:pStyle w:val="SanNormal"/>
        <w:widowControl w:val="0"/>
        <w:shd w:val="clear" w:color="auto" w:fill="D9D9D9" w:themeFill="background1" w:themeFillShade="D9"/>
        <w:spacing w:before="240"/>
      </w:pPr>
      <w:r w:rsidRPr="00B4628F">
        <w:t xml:space="preserve">After several follow-ups regarding the issuing of the tax invoice by way of telephone calls, emails and other written correspondence by the Applicant’s bookkeeper during a period of six months after delivery of the machine, the Applicant had still not received the tax invoice. Eventually Vendor B did not respond at all to any communications in this regard, so the Applicant engaged the services of a tracing agency to follow the matter up. The agency established that Vendor B had in fact emigrated to Australia and had already closed the business two months prior to being appointed to look into the matter. Several attempts to contact Vendor B in Australia by the Applicant and the tracing agency proved unsuccessful. </w:t>
      </w:r>
    </w:p>
    <w:p w14:paraId="05E5013E" w14:textId="77777777" w:rsidR="00733833" w:rsidRPr="00B4628F" w:rsidRDefault="00733833" w:rsidP="00D77889">
      <w:pPr>
        <w:pStyle w:val="SanNormal"/>
        <w:widowControl w:val="0"/>
        <w:shd w:val="clear" w:color="auto" w:fill="D9D9D9" w:themeFill="background1" w:themeFillShade="D9"/>
        <w:spacing w:before="240"/>
      </w:pPr>
      <w:r w:rsidRPr="00B4628F">
        <w:t>The Applicant therefore applied to SARS for a ruling as contemplated in section 16(2)(</w:t>
      </w:r>
      <w:r w:rsidRPr="00B4628F">
        <w:rPr>
          <w:i/>
          <w:iCs/>
        </w:rPr>
        <w:t>g</w:t>
      </w:r>
      <w:r w:rsidRPr="00B4628F">
        <w:t xml:space="preserve">) to allow alternative documents to be held as acceptable proof for purposes of claiming an input tax deduction. The proof held by the Applicant included detailed records of phone calls made, emails and other correspondence sent to Vendor B, the report by the tracing agent and the proof of payment for the supply. </w:t>
      </w:r>
    </w:p>
    <w:p w14:paraId="3D6D52AF" w14:textId="77777777" w:rsidR="00733833" w:rsidRPr="00B4628F" w:rsidRDefault="00733833" w:rsidP="00D77889">
      <w:pPr>
        <w:pStyle w:val="SanNormal"/>
        <w:widowControl w:val="0"/>
        <w:shd w:val="clear" w:color="auto" w:fill="D9D9D9" w:themeFill="background1" w:themeFillShade="D9"/>
        <w:spacing w:before="240"/>
      </w:pPr>
      <w:r w:rsidRPr="00B4628F">
        <w:t>The Applicant applied for the ruling more than two months prior to the expiry of the five-year period referred to in the proviso to section 16(3) and no input tax deduction had been before making the ruling application.</w:t>
      </w:r>
    </w:p>
    <w:p w14:paraId="12FE92A8" w14:textId="46ADE469" w:rsidR="001F1502" w:rsidRPr="00762A64" w:rsidRDefault="001F1502" w:rsidP="001F1502">
      <w:pPr>
        <w:pStyle w:val="SanH1"/>
        <w:keepNext w:val="0"/>
        <w:widowControl w:val="0"/>
        <w:numPr>
          <w:ilvl w:val="0"/>
          <w:numId w:val="0"/>
        </w:numPr>
        <w:ind w:left="720" w:hanging="720"/>
      </w:pPr>
      <w:r>
        <w:t>5</w:t>
      </w:r>
      <w:r w:rsidRPr="00B4628F">
        <w:t>.</w:t>
      </w:r>
      <w:r w:rsidRPr="00B4628F">
        <w:tab/>
      </w:r>
      <w:r w:rsidRPr="00762A64">
        <w:t>Conditions and assumptions</w:t>
      </w:r>
    </w:p>
    <w:p w14:paraId="784F0CE4" w14:textId="5C2CE788" w:rsidR="00CC0541" w:rsidRPr="00E1635A" w:rsidRDefault="00CC0541" w:rsidP="00CC0541">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 xml:space="preserve">Use the </w:t>
      </w:r>
      <w:r>
        <w:rPr>
          <w:sz w:val="20"/>
          <w:szCs w:val="20"/>
        </w:rPr>
        <w:t>below</w:t>
      </w:r>
      <w:r w:rsidRPr="00762A64">
        <w:rPr>
          <w:sz w:val="20"/>
          <w:szCs w:val="20"/>
        </w:rPr>
        <w:t xml:space="preserve"> statement if there are no additional conditions and assumptions. If there are any additional conditions or assumptions, then you can say </w:t>
      </w:r>
      <w:r w:rsidRPr="00762A64">
        <w:rPr>
          <w:i/>
          <w:iCs/>
          <w:sz w:val="20"/>
          <w:szCs w:val="20"/>
        </w:rPr>
        <w:t xml:space="preserve">“The following additional conditions/assumptions apply:” </w:t>
      </w:r>
      <w:r w:rsidRPr="00762A64">
        <w:rPr>
          <w:sz w:val="20"/>
          <w:szCs w:val="20"/>
        </w:rPr>
        <w:t>and then list them. You may have to include additional conditions or assumptions, for example, when the VAT treatment of a particular income stream is unclear or does not form part of the decision/ruling.</w:t>
      </w:r>
    </w:p>
    <w:p w14:paraId="4B4CF4EC" w14:textId="77777777" w:rsidR="001F1502" w:rsidRPr="00762A64" w:rsidRDefault="001F1502" w:rsidP="001F1502">
      <w:pPr>
        <w:pStyle w:val="ListParagraph"/>
        <w:numPr>
          <w:ilvl w:val="0"/>
          <w:numId w:val="0"/>
        </w:numPr>
        <w:spacing w:before="0" w:after="120" w:line="264" w:lineRule="auto"/>
        <w:ind w:left="720"/>
        <w:rPr>
          <w:b/>
          <w:bCs/>
        </w:rPr>
      </w:pPr>
      <w:r w:rsidRPr="00762A64">
        <w:t xml:space="preserve">This VAT ruling/class ruling is subject to the Standard Terms, Conditions and Assumptions issued by the Commissioner, and </w:t>
      </w:r>
      <w:r w:rsidRPr="00762A64">
        <w:rPr>
          <w:bCs/>
          <w:lang w:val="en-US"/>
        </w:rPr>
        <w:t>the provisions of Chapter 7 of the Tax Administration Act, 28 of 2011 (the TA Act), excluding sections 79(4)(</w:t>
      </w:r>
      <w:r w:rsidRPr="00762A64">
        <w:rPr>
          <w:bCs/>
          <w:i/>
          <w:lang w:val="en-US"/>
        </w:rPr>
        <w:t>f</w:t>
      </w:r>
      <w:r w:rsidRPr="00762A64">
        <w:rPr>
          <w:bCs/>
          <w:lang w:val="en-US"/>
        </w:rPr>
        <w:t>), (</w:t>
      </w:r>
      <w:r w:rsidRPr="00762A64">
        <w:rPr>
          <w:bCs/>
          <w:i/>
          <w:lang w:val="en-US"/>
        </w:rPr>
        <w:t>k</w:t>
      </w:r>
      <w:r w:rsidRPr="00762A64">
        <w:rPr>
          <w:bCs/>
          <w:lang w:val="en-US"/>
        </w:rPr>
        <w:t>), (6) and 81(1)(</w:t>
      </w:r>
      <w:r w:rsidRPr="00762A64">
        <w:rPr>
          <w:bCs/>
          <w:i/>
          <w:lang w:val="en-US"/>
        </w:rPr>
        <w:t>b</w:t>
      </w:r>
      <w:r w:rsidRPr="00762A64">
        <w:rPr>
          <w:bCs/>
          <w:lang w:val="en-US"/>
        </w:rPr>
        <w:t>).</w:t>
      </w:r>
    </w:p>
    <w:p w14:paraId="26F67B14" w14:textId="2EEAB615" w:rsidR="0024305D" w:rsidRPr="00B4628F" w:rsidRDefault="001F1502" w:rsidP="00A4439B">
      <w:pPr>
        <w:pStyle w:val="SanH1"/>
        <w:keepNext w:val="0"/>
        <w:widowControl w:val="0"/>
        <w:numPr>
          <w:ilvl w:val="0"/>
          <w:numId w:val="0"/>
        </w:numPr>
        <w:ind w:left="720" w:hanging="720"/>
      </w:pPr>
      <w:r>
        <w:t>6</w:t>
      </w:r>
      <w:r w:rsidR="0064136F" w:rsidRPr="00B4628F">
        <w:t>.</w:t>
      </w:r>
      <w:r w:rsidR="0064136F" w:rsidRPr="00B4628F">
        <w:tab/>
      </w:r>
      <w:r w:rsidR="0024305D" w:rsidRPr="00B4628F">
        <w:t>Ruling</w:t>
      </w:r>
    </w:p>
    <w:p w14:paraId="2345D778" w14:textId="77777777" w:rsidR="00CC0541" w:rsidRPr="00EF6C18" w:rsidRDefault="00CC0541" w:rsidP="00CC0541">
      <w:pPr>
        <w:pStyle w:val="SanNormal"/>
        <w:widowControl w:val="0"/>
        <w:pBdr>
          <w:top w:val="single" w:sz="4" w:space="1" w:color="auto"/>
          <w:left w:val="single" w:sz="4" w:space="4" w:color="auto"/>
          <w:bottom w:val="single" w:sz="4" w:space="1" w:color="auto"/>
          <w:right w:val="single" w:sz="4" w:space="4" w:color="auto"/>
        </w:pBdr>
        <w:rPr>
          <w:sz w:val="20"/>
          <w:szCs w:val="20"/>
        </w:rPr>
      </w:pPr>
      <w:r>
        <w:rPr>
          <w:sz w:val="20"/>
          <w:szCs w:val="20"/>
        </w:rPr>
        <w:t>Set the ruling out as per the items on which you have requested confirmation in the background and facts in the format indicated below. You can use the wording in the example below to make sure that you cover all the relevant parts that are necessary.</w:t>
      </w:r>
    </w:p>
    <w:p w14:paraId="26F67B15" w14:textId="248E2A54" w:rsidR="0024305D" w:rsidRDefault="0024305D" w:rsidP="00A4439B">
      <w:pPr>
        <w:pStyle w:val="SanIntrBullet"/>
        <w:keepNext w:val="0"/>
        <w:widowControl w:val="0"/>
      </w:pPr>
      <w:r w:rsidRPr="00B4628F">
        <w:t xml:space="preserve">The ruling </w:t>
      </w:r>
      <w:r w:rsidR="00992156" w:rsidRPr="00B4628F">
        <w:t>issued to th</w:t>
      </w:r>
      <w:r w:rsidR="00992156" w:rsidRPr="000A1451">
        <w:t xml:space="preserve">e </w:t>
      </w:r>
      <w:r w:rsidR="008E56AD" w:rsidRPr="000A1451">
        <w:t>A</w:t>
      </w:r>
      <w:r w:rsidR="00992156" w:rsidRPr="000A1451">
        <w:t>p</w:t>
      </w:r>
      <w:r w:rsidR="00992156" w:rsidRPr="00B4628F">
        <w:t xml:space="preserve">plicant </w:t>
      </w:r>
      <w:r w:rsidR="00ED2471" w:rsidRPr="00B4628F">
        <w:t>is</w:t>
      </w:r>
      <w:r w:rsidR="0075698E" w:rsidRPr="00B4628F">
        <w:t xml:space="preserve"> </w:t>
      </w:r>
      <w:r w:rsidRPr="00B4628F">
        <w:t>as follows:</w:t>
      </w:r>
      <w:r w:rsidR="00C14CD8" w:rsidRPr="00B4628F">
        <w:t xml:space="preserve"> </w:t>
      </w:r>
    </w:p>
    <w:p w14:paraId="3DB7DD6F" w14:textId="22CC35E9" w:rsidR="0081596D" w:rsidRPr="00B4628F" w:rsidRDefault="0081596D" w:rsidP="00D77889">
      <w:pPr>
        <w:pStyle w:val="SanNormal"/>
        <w:widowControl w:val="0"/>
        <w:shd w:val="clear" w:color="auto" w:fill="D9D9D9" w:themeFill="background1" w:themeFillShade="D9"/>
        <w:spacing w:before="240" w:after="120"/>
        <w:rPr>
          <w:b/>
          <w:bCs/>
        </w:rPr>
      </w:pPr>
      <w:r w:rsidRPr="00B4628F">
        <w:rPr>
          <w:b/>
          <w:bCs/>
        </w:rPr>
        <w:t>Example continued from paragraph 4 above:</w:t>
      </w:r>
    </w:p>
    <w:p w14:paraId="0C3DC183" w14:textId="77777777" w:rsidR="00D421D3" w:rsidRPr="00B4628F" w:rsidRDefault="008354B7" w:rsidP="00D77889">
      <w:pPr>
        <w:pStyle w:val="SanNormal"/>
        <w:widowControl w:val="0"/>
        <w:shd w:val="clear" w:color="auto" w:fill="D9D9D9" w:themeFill="background1" w:themeFillShade="D9"/>
        <w:spacing w:after="120"/>
      </w:pPr>
      <w:r w:rsidRPr="00B4628F">
        <w:t>T</w:t>
      </w:r>
      <w:r w:rsidR="0081596D" w:rsidRPr="00B4628F">
        <w:t xml:space="preserve">he </w:t>
      </w:r>
      <w:r w:rsidR="00126D13" w:rsidRPr="00B4628F">
        <w:t xml:space="preserve">Commissioner </w:t>
      </w:r>
      <w:r w:rsidR="00C31545" w:rsidRPr="00B4628F">
        <w:t>is</w:t>
      </w:r>
      <w:r w:rsidR="00126D13" w:rsidRPr="00B4628F">
        <w:t xml:space="preserve"> satisfied that all the requirements of section 16(2)(</w:t>
      </w:r>
      <w:r w:rsidR="00126D13" w:rsidRPr="00B4628F">
        <w:rPr>
          <w:i/>
          <w:iCs/>
        </w:rPr>
        <w:t>g</w:t>
      </w:r>
      <w:r w:rsidR="00126D13" w:rsidRPr="00B4628F">
        <w:t xml:space="preserve">) had been met by the Applicant. As such, the </w:t>
      </w:r>
      <w:r w:rsidR="0081596D" w:rsidRPr="00B4628F">
        <w:t xml:space="preserve">following documents </w:t>
      </w:r>
      <w:r w:rsidR="008A65B6" w:rsidRPr="00B4628F">
        <w:t xml:space="preserve">may </w:t>
      </w:r>
      <w:r w:rsidR="0081596D" w:rsidRPr="00B4628F">
        <w:t>serve as acceptable proof under sections 16(2)</w:t>
      </w:r>
      <w:r w:rsidR="00191D23" w:rsidRPr="00B4628F">
        <w:t>(</w:t>
      </w:r>
      <w:r w:rsidR="00191D23" w:rsidRPr="00B4628F">
        <w:rPr>
          <w:i/>
          <w:iCs/>
        </w:rPr>
        <w:t>g</w:t>
      </w:r>
      <w:r w:rsidR="00191D23" w:rsidRPr="00B4628F">
        <w:t>)</w:t>
      </w:r>
      <w:r w:rsidR="0081596D" w:rsidRPr="00B4628F">
        <w:t xml:space="preserve"> and 16(3)(</w:t>
      </w:r>
      <w:r w:rsidR="0081596D" w:rsidRPr="00B4628F">
        <w:rPr>
          <w:i/>
          <w:iCs/>
        </w:rPr>
        <w:t>a</w:t>
      </w:r>
      <w:r w:rsidR="0081596D" w:rsidRPr="00B4628F">
        <w:t xml:space="preserve">) that an input tax deduction </w:t>
      </w:r>
      <w:r w:rsidRPr="00B4628F">
        <w:t xml:space="preserve">may </w:t>
      </w:r>
      <w:r w:rsidR="0081596D" w:rsidRPr="00B4628F">
        <w:t>be made</w:t>
      </w:r>
      <w:r w:rsidR="00D421D3" w:rsidRPr="00B4628F">
        <w:t>:</w:t>
      </w:r>
    </w:p>
    <w:p w14:paraId="5FBF8073" w14:textId="77777777" w:rsidR="0081596D" w:rsidRPr="00B4628F" w:rsidRDefault="0081596D" w:rsidP="00D77889">
      <w:pPr>
        <w:pStyle w:val="SanNormal"/>
        <w:widowControl w:val="0"/>
        <w:numPr>
          <w:ilvl w:val="0"/>
          <w:numId w:val="13"/>
        </w:numPr>
        <w:shd w:val="clear" w:color="auto" w:fill="D9D9D9" w:themeFill="background1" w:themeFillShade="D9"/>
        <w:spacing w:after="120"/>
      </w:pPr>
      <w:r w:rsidRPr="00B4628F">
        <w:t>Proof of payment for the supply; and</w:t>
      </w:r>
    </w:p>
    <w:p w14:paraId="50AFA247" w14:textId="0F3CF035" w:rsidR="0081596D" w:rsidRPr="00B4628F" w:rsidRDefault="0081596D" w:rsidP="00D77889">
      <w:pPr>
        <w:pStyle w:val="SanNormal"/>
        <w:widowControl w:val="0"/>
        <w:numPr>
          <w:ilvl w:val="0"/>
          <w:numId w:val="13"/>
        </w:numPr>
        <w:shd w:val="clear" w:color="auto" w:fill="D9D9D9" w:themeFill="background1" w:themeFillShade="D9"/>
        <w:ind w:left="1077" w:hanging="357"/>
      </w:pPr>
      <w:r w:rsidRPr="00B4628F">
        <w:t>The delivery note.</w:t>
      </w:r>
    </w:p>
    <w:p w14:paraId="7CF16A36" w14:textId="41C2715F" w:rsidR="0081596D" w:rsidRPr="00B4628F" w:rsidRDefault="0081596D" w:rsidP="00D77889">
      <w:pPr>
        <w:pStyle w:val="SanNormal"/>
        <w:widowControl w:val="0"/>
        <w:shd w:val="clear" w:color="auto" w:fill="D9D9D9" w:themeFill="background1" w:themeFillShade="D9"/>
        <w:spacing w:after="120"/>
      </w:pPr>
      <w:r w:rsidRPr="00B4628F">
        <w:t xml:space="preserve">The Applicant </w:t>
      </w:r>
      <w:r w:rsidR="008354B7" w:rsidRPr="00B4628F">
        <w:t>must</w:t>
      </w:r>
      <w:r w:rsidRPr="00B4628F">
        <w:t xml:space="preserve"> be in possession of the ruling and the specified acceptable documents at the time a return in respect of the deduction is furnished</w:t>
      </w:r>
      <w:r w:rsidR="00A720C7" w:rsidRPr="00B4628F">
        <w:t xml:space="preserve">. The </w:t>
      </w:r>
      <w:r w:rsidR="00D421D3" w:rsidRPr="00B4628F">
        <w:t xml:space="preserve">input tax deduction may be made in the tax period covering the date of issue of the ruling, or in a subsequent tax period, and is </w:t>
      </w:r>
      <w:r w:rsidR="00A720C7" w:rsidRPr="00B4628F">
        <w:t>subject to the five-year prescription period referred to in the proviso to section 16(3).</w:t>
      </w:r>
    </w:p>
    <w:p w14:paraId="26F67B19" w14:textId="7F026909" w:rsidR="00FA21A7" w:rsidRPr="00762A64" w:rsidRDefault="00415A47" w:rsidP="00A4439B">
      <w:pPr>
        <w:pStyle w:val="SanH1"/>
        <w:keepNext w:val="0"/>
        <w:widowControl w:val="0"/>
        <w:numPr>
          <w:ilvl w:val="0"/>
          <w:numId w:val="0"/>
        </w:numPr>
        <w:ind w:left="720" w:hanging="720"/>
      </w:pPr>
      <w:r w:rsidRPr="00B4628F">
        <w:t>7.</w:t>
      </w:r>
      <w:r w:rsidRPr="00B4628F">
        <w:tab/>
      </w:r>
      <w:r w:rsidR="00FA21A7" w:rsidRPr="00762A64">
        <w:t>Period for which this ruling is valid</w:t>
      </w:r>
    </w:p>
    <w:p w14:paraId="28080CC6" w14:textId="5342A9A3" w:rsidR="008E56AD" w:rsidRPr="00762A64" w:rsidRDefault="008E56AD" w:rsidP="008E56AD">
      <w:pPr>
        <w:pStyle w:val="SanNormal"/>
        <w:widowControl w:val="0"/>
        <w:pBdr>
          <w:top w:val="single" w:sz="4" w:space="1" w:color="auto"/>
          <w:left w:val="single" w:sz="4" w:space="4" w:color="auto"/>
          <w:bottom w:val="single" w:sz="4" w:space="1" w:color="auto"/>
          <w:right w:val="single" w:sz="4" w:space="4" w:color="auto"/>
        </w:pBdr>
        <w:rPr>
          <w:sz w:val="20"/>
          <w:szCs w:val="20"/>
        </w:rPr>
      </w:pPr>
      <w:r w:rsidRPr="00762A64">
        <w:rPr>
          <w:sz w:val="20"/>
          <w:szCs w:val="20"/>
        </w:rPr>
        <w:t>Use the wording and format indicated below modified only by the inclusion of the relevant dates or whether the claim is for “input tax” or a different deduction against output tax. As the decision/ruling applies as permission for a specific deduction (subject to prescription), no specific validity period is stated.</w:t>
      </w:r>
    </w:p>
    <w:p w14:paraId="4AFB6E20" w14:textId="1BE8315D" w:rsidR="00A13CFD" w:rsidRPr="00762A64" w:rsidRDefault="00A13CFD" w:rsidP="00A13CFD">
      <w:pPr>
        <w:pStyle w:val="SanNormal"/>
        <w:widowControl w:val="0"/>
      </w:pPr>
      <w:r w:rsidRPr="00762A64">
        <w:t xml:space="preserve">This VAT ruling applies only in respect of the transaction(s) set out above and is – </w:t>
      </w:r>
    </w:p>
    <w:p w14:paraId="2ABC9CD0" w14:textId="77777777" w:rsidR="00A13CFD" w:rsidRPr="00762A64" w:rsidRDefault="00A13CFD" w:rsidP="00A13CFD">
      <w:pPr>
        <w:pStyle w:val="SanIntrBullet"/>
        <w:keepNext w:val="0"/>
        <w:widowControl w:val="0"/>
      </w:pPr>
      <w:r w:rsidRPr="00762A64">
        <w:t>7.1</w:t>
      </w:r>
      <w:r w:rsidRPr="00762A64">
        <w:tab/>
        <w:t xml:space="preserve">valid from date of issue; </w:t>
      </w:r>
    </w:p>
    <w:p w14:paraId="20D8B394" w14:textId="12BB9C18" w:rsidR="00A13CFD" w:rsidRPr="00762A64" w:rsidRDefault="00A13CFD" w:rsidP="00A13CFD">
      <w:pPr>
        <w:pStyle w:val="SanIntrBullet"/>
        <w:keepNext w:val="0"/>
        <w:widowControl w:val="0"/>
      </w:pPr>
      <w:r w:rsidRPr="00762A64">
        <w:t>7.2</w:t>
      </w:r>
      <w:r w:rsidRPr="00762A64">
        <w:tab/>
        <w:t xml:space="preserve"> applicable to tax periods commencing on or after xxx; </w:t>
      </w:r>
      <w:r w:rsidR="009936ED" w:rsidRPr="00762A64">
        <w:t>and</w:t>
      </w:r>
    </w:p>
    <w:p w14:paraId="346DEA57" w14:textId="170BC8A0" w:rsidR="00A13CFD" w:rsidRPr="00762A64" w:rsidRDefault="00A13CFD" w:rsidP="00A13CFD">
      <w:pPr>
        <w:pStyle w:val="SanIntrBullet"/>
        <w:keepNext w:val="0"/>
        <w:widowControl w:val="0"/>
      </w:pPr>
      <w:r w:rsidRPr="00762A64">
        <w:t>7.3</w:t>
      </w:r>
      <w:r w:rsidRPr="00762A64">
        <w:tab/>
        <w:t xml:space="preserve"> valid until the claim for a deduction of input tax (or a deduction if it is </w:t>
      </w:r>
      <w:r w:rsidRPr="00762A64">
        <w:tab/>
        <w:t xml:space="preserve">not “input tax”– as the case may be) prescribes in accordance with the </w:t>
      </w:r>
      <w:r w:rsidRPr="00762A64">
        <w:tab/>
        <w:t>proviso to section 16(3)</w:t>
      </w:r>
      <w:r w:rsidR="009936ED" w:rsidRPr="00762A64">
        <w:t>.</w:t>
      </w:r>
    </w:p>
    <w:p w14:paraId="26F67B1D" w14:textId="6296531A" w:rsidR="0024305D" w:rsidRPr="00B4628F" w:rsidRDefault="00CC0541" w:rsidP="00A4439B">
      <w:pPr>
        <w:pStyle w:val="SanEnder"/>
        <w:keepNext w:val="0"/>
        <w:keepLines w:val="0"/>
        <w:widowControl w:val="0"/>
      </w:pPr>
      <w:r>
        <w:rPr>
          <w:rStyle w:val="Emphasis"/>
          <w:i w:val="0"/>
        </w:rPr>
        <w:t>L</w:t>
      </w:r>
      <w:r w:rsidR="00A66AB0" w:rsidRPr="00B4628F">
        <w:rPr>
          <w:rStyle w:val="Emphasis"/>
          <w:i w:val="0"/>
        </w:rPr>
        <w:t>everaged Legal Products</w:t>
      </w:r>
    </w:p>
    <w:p w14:paraId="26F67B1E" w14:textId="77777777" w:rsidR="0024305D" w:rsidRPr="00B4628F" w:rsidRDefault="0024305D" w:rsidP="00A4439B">
      <w:pPr>
        <w:pStyle w:val="LegalandPolicyDivision"/>
        <w:widowControl w:val="0"/>
      </w:pPr>
      <w:r w:rsidRPr="00B4628F">
        <w:t>SOUTH AFRICAN REVENUE SERVICE</w:t>
      </w:r>
    </w:p>
    <w:sectPr w:rsidR="0024305D" w:rsidRPr="00B4628F" w:rsidSect="000A1451">
      <w:headerReference w:type="even" r:id="rId13"/>
      <w:headerReference w:type="default" r:id="rId14"/>
      <w:footerReference w:type="even" r:id="rId15"/>
      <w:footerReference w:type="default" r:id="rId16"/>
      <w:headerReference w:type="first" r:id="rId17"/>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274E" w14:textId="77777777" w:rsidR="007167E2" w:rsidRDefault="007167E2">
      <w:r>
        <w:separator/>
      </w:r>
    </w:p>
    <w:p w14:paraId="6C23D94A" w14:textId="77777777" w:rsidR="007167E2" w:rsidRDefault="007167E2"/>
  </w:endnote>
  <w:endnote w:type="continuationSeparator" w:id="0">
    <w:p w14:paraId="48C94573" w14:textId="77777777" w:rsidR="007167E2" w:rsidRDefault="007167E2">
      <w:r>
        <w:continuationSeparator/>
      </w:r>
    </w:p>
    <w:p w14:paraId="6C7A38F9" w14:textId="77777777" w:rsidR="007167E2" w:rsidRDefault="00716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E" w14:textId="77777777" w:rsidR="009D2BFB" w:rsidRDefault="009D2BFB" w:rsidP="009673CC">
    <w:pPr>
      <w:pStyle w:val="Footer"/>
      <w:tabs>
        <w:tab w:val="clear" w:pos="4320"/>
        <w:tab w:val="clear" w:pos="8640"/>
        <w:tab w:val="left" w:pos="394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9484" w14:textId="77777777" w:rsidR="007167E2" w:rsidRDefault="007167E2">
      <w:r>
        <w:separator/>
      </w:r>
    </w:p>
    <w:p w14:paraId="3C7B3F0E" w14:textId="77777777" w:rsidR="007167E2" w:rsidRDefault="007167E2"/>
  </w:footnote>
  <w:footnote w:type="continuationSeparator" w:id="0">
    <w:p w14:paraId="221F7ECA" w14:textId="77777777" w:rsidR="007167E2" w:rsidRDefault="007167E2">
      <w:r>
        <w:continuationSeparator/>
      </w:r>
    </w:p>
    <w:p w14:paraId="2D4FD7BC" w14:textId="77777777" w:rsidR="007167E2" w:rsidRDefault="00716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1BB2AB92" w:rsidR="00917F4B" w:rsidRDefault="00000000">
    <w:pPr>
      <w:pStyle w:val="Header"/>
    </w:pPr>
    <w:r>
      <w:rPr>
        <w:noProof/>
      </w:rPr>
      <w:pict w14:anchorId="2ED0C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338719" o:sp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0FC36349" w:rsidR="009D2BFB" w:rsidRPr="007507D4" w:rsidRDefault="00000000" w:rsidP="007507D4">
    <w:pPr>
      <w:pStyle w:val="Header"/>
      <w:framePr w:wrap="around" w:vAnchor="text" w:hAnchor="margin" w:xAlign="center" w:y="1"/>
      <w:jc w:val="center"/>
      <w:rPr>
        <w:rStyle w:val="PageNumber"/>
        <w:rFonts w:eastAsiaTheme="minorEastAsia"/>
        <w:b w:val="0"/>
        <w:sz w:val="22"/>
      </w:rPr>
    </w:pPr>
    <w:r>
      <w:rPr>
        <w:noProof/>
      </w:rPr>
      <w:pict w14:anchorId="3C8CE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338720" o:sp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1E262406" w:rsidR="009D2BFB" w:rsidRPr="00034AC2" w:rsidRDefault="00000000" w:rsidP="007507D4">
    <w:pPr>
      <w:pStyle w:val="Header"/>
      <w:tabs>
        <w:tab w:val="clear" w:pos="4320"/>
        <w:tab w:val="clear" w:pos="8640"/>
      </w:tabs>
      <w:rPr>
        <w:sz w:val="24"/>
        <w:szCs w:val="24"/>
      </w:rPr>
    </w:pPr>
    <w:r>
      <w:rPr>
        <w:noProof/>
      </w:rPr>
      <w:pict w14:anchorId="7C492B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338718" o:spid="_x0000_s1025" type="#_x0000_t136" style="position:absolute;margin-left:0;margin-top:0;width:493.2pt;height:123.3pt;rotation:315;z-index:-25165721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3AAD4928"/>
    <w:multiLevelType w:val="hybridMultilevel"/>
    <w:tmpl w:val="76C02E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C234191"/>
    <w:multiLevelType w:val="multilevel"/>
    <w:tmpl w:val="32D0C89E"/>
    <w:lvl w:ilvl="0">
      <w:start w:val="1"/>
      <w:numFmt w:val="decimal"/>
      <w:pStyle w:val="SanH1"/>
      <w:lvlText w:val="%1."/>
      <w:lvlJc w:val="left"/>
      <w:pPr>
        <w:tabs>
          <w:tab w:val="num" w:pos="709"/>
        </w:tabs>
        <w:ind w:left="709" w:hanging="709"/>
      </w:pPr>
      <w:rPr>
        <w:rFonts w:ascii="Arial" w:hAnsi="Arial" w:cs="Arial" w:hint="default"/>
        <w:b/>
        <w:i w:val="0"/>
        <w:color w:val="auto"/>
        <w:sz w:val="22"/>
        <w:szCs w:val="22"/>
      </w:rPr>
    </w:lvl>
    <w:lvl w:ilvl="1">
      <w:start w:val="1"/>
      <w:numFmt w:val="bullet"/>
      <w:pStyle w:val="SanB1"/>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9" w15:restartNumberingAfterBreak="0">
    <w:nsid w:val="460576D2"/>
    <w:multiLevelType w:val="hybridMultilevel"/>
    <w:tmpl w:val="46DCCBF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1"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77763B73"/>
    <w:multiLevelType w:val="hybridMultilevel"/>
    <w:tmpl w:val="C178CBF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452553429">
    <w:abstractNumId w:val="1"/>
  </w:num>
  <w:num w:numId="2" w16cid:durableId="878665098">
    <w:abstractNumId w:val="8"/>
  </w:num>
  <w:num w:numId="3" w16cid:durableId="1589077631">
    <w:abstractNumId w:val="10"/>
  </w:num>
  <w:num w:numId="4" w16cid:durableId="865680758">
    <w:abstractNumId w:val="13"/>
  </w:num>
  <w:num w:numId="5" w16cid:durableId="292055655">
    <w:abstractNumId w:val="3"/>
  </w:num>
  <w:num w:numId="6" w16cid:durableId="791560988">
    <w:abstractNumId w:val="0"/>
  </w:num>
  <w:num w:numId="7" w16cid:durableId="2145846837">
    <w:abstractNumId w:val="4"/>
  </w:num>
  <w:num w:numId="8" w16cid:durableId="1458718070">
    <w:abstractNumId w:val="7"/>
  </w:num>
  <w:num w:numId="9" w16cid:durableId="674845017">
    <w:abstractNumId w:val="2"/>
  </w:num>
  <w:num w:numId="10" w16cid:durableId="1772041417">
    <w:abstractNumId w:val="5"/>
  </w:num>
  <w:num w:numId="11" w16cid:durableId="1462842275">
    <w:abstractNumId w:val="6"/>
  </w:num>
  <w:num w:numId="12" w16cid:durableId="1902324477">
    <w:abstractNumId w:val="12"/>
  </w:num>
  <w:num w:numId="13" w16cid:durableId="1075667172">
    <w:abstractNumId w:val="9"/>
  </w:num>
  <w:num w:numId="14" w16cid:durableId="20194584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3140"/>
    <w:rsid w:val="00003C10"/>
    <w:rsid w:val="00006975"/>
    <w:rsid w:val="00010060"/>
    <w:rsid w:val="000114D0"/>
    <w:rsid w:val="0001254A"/>
    <w:rsid w:val="000146E7"/>
    <w:rsid w:val="0001566E"/>
    <w:rsid w:val="0002762D"/>
    <w:rsid w:val="000324C8"/>
    <w:rsid w:val="0003276E"/>
    <w:rsid w:val="00032E55"/>
    <w:rsid w:val="00034037"/>
    <w:rsid w:val="00034077"/>
    <w:rsid w:val="00034632"/>
    <w:rsid w:val="00034A78"/>
    <w:rsid w:val="00034AC2"/>
    <w:rsid w:val="000403E5"/>
    <w:rsid w:val="0004107F"/>
    <w:rsid w:val="0004209B"/>
    <w:rsid w:val="00043720"/>
    <w:rsid w:val="00043906"/>
    <w:rsid w:val="000460CD"/>
    <w:rsid w:val="0005013C"/>
    <w:rsid w:val="00052423"/>
    <w:rsid w:val="00052519"/>
    <w:rsid w:val="000531F5"/>
    <w:rsid w:val="00064B2E"/>
    <w:rsid w:val="000668B6"/>
    <w:rsid w:val="00067549"/>
    <w:rsid w:val="000679DB"/>
    <w:rsid w:val="0007075E"/>
    <w:rsid w:val="00070CAE"/>
    <w:rsid w:val="0007364F"/>
    <w:rsid w:val="000750C5"/>
    <w:rsid w:val="00077834"/>
    <w:rsid w:val="00077E97"/>
    <w:rsid w:val="00081DC1"/>
    <w:rsid w:val="0008269D"/>
    <w:rsid w:val="00085932"/>
    <w:rsid w:val="0008664D"/>
    <w:rsid w:val="0009030B"/>
    <w:rsid w:val="00096495"/>
    <w:rsid w:val="000977DB"/>
    <w:rsid w:val="000A1451"/>
    <w:rsid w:val="000A16C7"/>
    <w:rsid w:val="000A6662"/>
    <w:rsid w:val="000A6E46"/>
    <w:rsid w:val="000A78CA"/>
    <w:rsid w:val="000B44FC"/>
    <w:rsid w:val="000B510B"/>
    <w:rsid w:val="000C0780"/>
    <w:rsid w:val="000C0B32"/>
    <w:rsid w:val="000C14CA"/>
    <w:rsid w:val="000C2342"/>
    <w:rsid w:val="000C6455"/>
    <w:rsid w:val="000D596A"/>
    <w:rsid w:val="000D5AFD"/>
    <w:rsid w:val="000E0C5B"/>
    <w:rsid w:val="000E28B7"/>
    <w:rsid w:val="000E66BA"/>
    <w:rsid w:val="000E7153"/>
    <w:rsid w:val="000E742C"/>
    <w:rsid w:val="000F0127"/>
    <w:rsid w:val="000F19DE"/>
    <w:rsid w:val="000F2645"/>
    <w:rsid w:val="000F4184"/>
    <w:rsid w:val="000F6804"/>
    <w:rsid w:val="0010153A"/>
    <w:rsid w:val="001068A8"/>
    <w:rsid w:val="00112F36"/>
    <w:rsid w:val="00117926"/>
    <w:rsid w:val="00117CF8"/>
    <w:rsid w:val="001205DF"/>
    <w:rsid w:val="00120B2E"/>
    <w:rsid w:val="00123E2F"/>
    <w:rsid w:val="00126D13"/>
    <w:rsid w:val="001367FF"/>
    <w:rsid w:val="0014674A"/>
    <w:rsid w:val="001521CE"/>
    <w:rsid w:val="00153DEA"/>
    <w:rsid w:val="001540DF"/>
    <w:rsid w:val="0015498F"/>
    <w:rsid w:val="00160220"/>
    <w:rsid w:val="0016603C"/>
    <w:rsid w:val="00174A01"/>
    <w:rsid w:val="00175900"/>
    <w:rsid w:val="00175CCE"/>
    <w:rsid w:val="00175D69"/>
    <w:rsid w:val="00191D23"/>
    <w:rsid w:val="001A078E"/>
    <w:rsid w:val="001A0F00"/>
    <w:rsid w:val="001A15A8"/>
    <w:rsid w:val="001A4509"/>
    <w:rsid w:val="001A53CE"/>
    <w:rsid w:val="001A7A94"/>
    <w:rsid w:val="001B44C8"/>
    <w:rsid w:val="001B7037"/>
    <w:rsid w:val="001B7B98"/>
    <w:rsid w:val="001C10DD"/>
    <w:rsid w:val="001C479B"/>
    <w:rsid w:val="001C4F14"/>
    <w:rsid w:val="001C6997"/>
    <w:rsid w:val="001D1684"/>
    <w:rsid w:val="001D1D70"/>
    <w:rsid w:val="001D38BD"/>
    <w:rsid w:val="001D3ABB"/>
    <w:rsid w:val="001D66F5"/>
    <w:rsid w:val="001D69B4"/>
    <w:rsid w:val="001D6E83"/>
    <w:rsid w:val="001D779C"/>
    <w:rsid w:val="001E1919"/>
    <w:rsid w:val="001E22D4"/>
    <w:rsid w:val="001E287E"/>
    <w:rsid w:val="001E43DA"/>
    <w:rsid w:val="001F0F86"/>
    <w:rsid w:val="001F1502"/>
    <w:rsid w:val="001F3EE5"/>
    <w:rsid w:val="001F6112"/>
    <w:rsid w:val="00214ADF"/>
    <w:rsid w:val="00215837"/>
    <w:rsid w:val="00216162"/>
    <w:rsid w:val="0022196B"/>
    <w:rsid w:val="00221F14"/>
    <w:rsid w:val="00221F76"/>
    <w:rsid w:val="0022763D"/>
    <w:rsid w:val="0023274C"/>
    <w:rsid w:val="00240029"/>
    <w:rsid w:val="002400E2"/>
    <w:rsid w:val="0024305D"/>
    <w:rsid w:val="00243D8F"/>
    <w:rsid w:val="0024464F"/>
    <w:rsid w:val="002453F0"/>
    <w:rsid w:val="00246B45"/>
    <w:rsid w:val="00251110"/>
    <w:rsid w:val="00251C36"/>
    <w:rsid w:val="00254515"/>
    <w:rsid w:val="00256BCE"/>
    <w:rsid w:val="00264EE5"/>
    <w:rsid w:val="00267EAC"/>
    <w:rsid w:val="00271073"/>
    <w:rsid w:val="00277A67"/>
    <w:rsid w:val="00285BE3"/>
    <w:rsid w:val="00291AF7"/>
    <w:rsid w:val="00293F65"/>
    <w:rsid w:val="00294F22"/>
    <w:rsid w:val="00295323"/>
    <w:rsid w:val="0029573E"/>
    <w:rsid w:val="002B45A0"/>
    <w:rsid w:val="002B72B1"/>
    <w:rsid w:val="002B7714"/>
    <w:rsid w:val="002B7E9D"/>
    <w:rsid w:val="002C0519"/>
    <w:rsid w:val="002C1A7D"/>
    <w:rsid w:val="002C326C"/>
    <w:rsid w:val="002C494E"/>
    <w:rsid w:val="002C773C"/>
    <w:rsid w:val="002D7598"/>
    <w:rsid w:val="002E154B"/>
    <w:rsid w:val="002E1F7D"/>
    <w:rsid w:val="002E3B61"/>
    <w:rsid w:val="002E41B1"/>
    <w:rsid w:val="002E4A3B"/>
    <w:rsid w:val="002E5A6E"/>
    <w:rsid w:val="002E7720"/>
    <w:rsid w:val="002F106E"/>
    <w:rsid w:val="002F16DA"/>
    <w:rsid w:val="002F2383"/>
    <w:rsid w:val="002F3453"/>
    <w:rsid w:val="002F3B08"/>
    <w:rsid w:val="002F3C20"/>
    <w:rsid w:val="002F5BD2"/>
    <w:rsid w:val="002F6615"/>
    <w:rsid w:val="002F71F4"/>
    <w:rsid w:val="00303856"/>
    <w:rsid w:val="003067E7"/>
    <w:rsid w:val="003108AA"/>
    <w:rsid w:val="0031464F"/>
    <w:rsid w:val="0031791F"/>
    <w:rsid w:val="003218D7"/>
    <w:rsid w:val="00321A56"/>
    <w:rsid w:val="00321B6C"/>
    <w:rsid w:val="00324BA6"/>
    <w:rsid w:val="00325912"/>
    <w:rsid w:val="00327484"/>
    <w:rsid w:val="00331170"/>
    <w:rsid w:val="00332D75"/>
    <w:rsid w:val="003370D5"/>
    <w:rsid w:val="00337E59"/>
    <w:rsid w:val="00337FD7"/>
    <w:rsid w:val="0034574F"/>
    <w:rsid w:val="00345B7F"/>
    <w:rsid w:val="00347E75"/>
    <w:rsid w:val="00351857"/>
    <w:rsid w:val="00352E58"/>
    <w:rsid w:val="00362613"/>
    <w:rsid w:val="00363B2B"/>
    <w:rsid w:val="0036533E"/>
    <w:rsid w:val="00370BE6"/>
    <w:rsid w:val="0037572F"/>
    <w:rsid w:val="00375DD6"/>
    <w:rsid w:val="0037708D"/>
    <w:rsid w:val="003821AA"/>
    <w:rsid w:val="00384095"/>
    <w:rsid w:val="00387F5B"/>
    <w:rsid w:val="00390780"/>
    <w:rsid w:val="0039185A"/>
    <w:rsid w:val="003945CA"/>
    <w:rsid w:val="003A149E"/>
    <w:rsid w:val="003A216D"/>
    <w:rsid w:val="003A36AE"/>
    <w:rsid w:val="003B01A3"/>
    <w:rsid w:val="003B0FDF"/>
    <w:rsid w:val="003B11D8"/>
    <w:rsid w:val="003B384F"/>
    <w:rsid w:val="003B5A4C"/>
    <w:rsid w:val="003C2488"/>
    <w:rsid w:val="003C3072"/>
    <w:rsid w:val="003C3ACF"/>
    <w:rsid w:val="003C3FD5"/>
    <w:rsid w:val="003C4A5E"/>
    <w:rsid w:val="003D04EC"/>
    <w:rsid w:val="003D1BA0"/>
    <w:rsid w:val="003D27D0"/>
    <w:rsid w:val="003E0B71"/>
    <w:rsid w:val="003E13D3"/>
    <w:rsid w:val="003E14B1"/>
    <w:rsid w:val="003E4F2A"/>
    <w:rsid w:val="003E6D2F"/>
    <w:rsid w:val="003F104D"/>
    <w:rsid w:val="003F2B6A"/>
    <w:rsid w:val="004010D8"/>
    <w:rsid w:val="00401C26"/>
    <w:rsid w:val="004040A5"/>
    <w:rsid w:val="00404968"/>
    <w:rsid w:val="00407DF1"/>
    <w:rsid w:val="004103A6"/>
    <w:rsid w:val="00412E6F"/>
    <w:rsid w:val="00415A47"/>
    <w:rsid w:val="00420E07"/>
    <w:rsid w:val="00430057"/>
    <w:rsid w:val="004307A1"/>
    <w:rsid w:val="00435E90"/>
    <w:rsid w:val="00440183"/>
    <w:rsid w:val="00443417"/>
    <w:rsid w:val="004440A0"/>
    <w:rsid w:val="00444C7F"/>
    <w:rsid w:val="00445233"/>
    <w:rsid w:val="004506FF"/>
    <w:rsid w:val="00450C06"/>
    <w:rsid w:val="00456327"/>
    <w:rsid w:val="004571F1"/>
    <w:rsid w:val="004632B7"/>
    <w:rsid w:val="004636CC"/>
    <w:rsid w:val="004639B3"/>
    <w:rsid w:val="0046758A"/>
    <w:rsid w:val="004737CF"/>
    <w:rsid w:val="00476135"/>
    <w:rsid w:val="00476881"/>
    <w:rsid w:val="00477C75"/>
    <w:rsid w:val="0048357A"/>
    <w:rsid w:val="00485378"/>
    <w:rsid w:val="00491F7B"/>
    <w:rsid w:val="00495222"/>
    <w:rsid w:val="00495D89"/>
    <w:rsid w:val="00497C40"/>
    <w:rsid w:val="004A076F"/>
    <w:rsid w:val="004A0CAE"/>
    <w:rsid w:val="004A19C8"/>
    <w:rsid w:val="004A25C9"/>
    <w:rsid w:val="004A42E5"/>
    <w:rsid w:val="004A526D"/>
    <w:rsid w:val="004A5EB4"/>
    <w:rsid w:val="004A7015"/>
    <w:rsid w:val="004A73CD"/>
    <w:rsid w:val="004B1F97"/>
    <w:rsid w:val="004B5558"/>
    <w:rsid w:val="004B684D"/>
    <w:rsid w:val="004C217A"/>
    <w:rsid w:val="004C3534"/>
    <w:rsid w:val="004C47CF"/>
    <w:rsid w:val="004C4BA3"/>
    <w:rsid w:val="004C62AE"/>
    <w:rsid w:val="004D3869"/>
    <w:rsid w:val="004E002B"/>
    <w:rsid w:val="004E0C03"/>
    <w:rsid w:val="004E0C57"/>
    <w:rsid w:val="004E6E15"/>
    <w:rsid w:val="004F41D3"/>
    <w:rsid w:val="004F444F"/>
    <w:rsid w:val="004F547F"/>
    <w:rsid w:val="004F6023"/>
    <w:rsid w:val="004F6A20"/>
    <w:rsid w:val="005016AC"/>
    <w:rsid w:val="00502859"/>
    <w:rsid w:val="00503A59"/>
    <w:rsid w:val="00504D44"/>
    <w:rsid w:val="00506CB2"/>
    <w:rsid w:val="00507A2C"/>
    <w:rsid w:val="00516179"/>
    <w:rsid w:val="00521E74"/>
    <w:rsid w:val="00523DAB"/>
    <w:rsid w:val="00525909"/>
    <w:rsid w:val="00525DD1"/>
    <w:rsid w:val="005275E4"/>
    <w:rsid w:val="005330A6"/>
    <w:rsid w:val="00535A73"/>
    <w:rsid w:val="00537755"/>
    <w:rsid w:val="0055282A"/>
    <w:rsid w:val="00554B48"/>
    <w:rsid w:val="00557276"/>
    <w:rsid w:val="00563D86"/>
    <w:rsid w:val="00572455"/>
    <w:rsid w:val="00574195"/>
    <w:rsid w:val="0057491E"/>
    <w:rsid w:val="0057715D"/>
    <w:rsid w:val="00580706"/>
    <w:rsid w:val="00581935"/>
    <w:rsid w:val="00581B56"/>
    <w:rsid w:val="00586364"/>
    <w:rsid w:val="00590E01"/>
    <w:rsid w:val="00591BD5"/>
    <w:rsid w:val="00592627"/>
    <w:rsid w:val="00593371"/>
    <w:rsid w:val="00594EFA"/>
    <w:rsid w:val="005959F4"/>
    <w:rsid w:val="00597103"/>
    <w:rsid w:val="005A14D7"/>
    <w:rsid w:val="005A1533"/>
    <w:rsid w:val="005A23A7"/>
    <w:rsid w:val="005A4BB5"/>
    <w:rsid w:val="005A4CAE"/>
    <w:rsid w:val="005A5B6D"/>
    <w:rsid w:val="005A6065"/>
    <w:rsid w:val="005B1107"/>
    <w:rsid w:val="005B327E"/>
    <w:rsid w:val="005B651D"/>
    <w:rsid w:val="005B7D19"/>
    <w:rsid w:val="005C00ED"/>
    <w:rsid w:val="005C091F"/>
    <w:rsid w:val="005C1922"/>
    <w:rsid w:val="005C3323"/>
    <w:rsid w:val="005C3C07"/>
    <w:rsid w:val="005C3D1E"/>
    <w:rsid w:val="005C4DAE"/>
    <w:rsid w:val="005C6BBB"/>
    <w:rsid w:val="005D0B33"/>
    <w:rsid w:val="005D0E26"/>
    <w:rsid w:val="005D5B23"/>
    <w:rsid w:val="005D6232"/>
    <w:rsid w:val="005D7042"/>
    <w:rsid w:val="005D79D8"/>
    <w:rsid w:val="005E17E6"/>
    <w:rsid w:val="005E3EEA"/>
    <w:rsid w:val="005F1005"/>
    <w:rsid w:val="005F1B75"/>
    <w:rsid w:val="005F2195"/>
    <w:rsid w:val="005F465C"/>
    <w:rsid w:val="005F5BF5"/>
    <w:rsid w:val="005F6E14"/>
    <w:rsid w:val="005F7026"/>
    <w:rsid w:val="00601009"/>
    <w:rsid w:val="0060143E"/>
    <w:rsid w:val="00603EE2"/>
    <w:rsid w:val="0060440C"/>
    <w:rsid w:val="00604F45"/>
    <w:rsid w:val="00607BAC"/>
    <w:rsid w:val="00615262"/>
    <w:rsid w:val="00615C44"/>
    <w:rsid w:val="00616A3B"/>
    <w:rsid w:val="0062003B"/>
    <w:rsid w:val="00620A3E"/>
    <w:rsid w:val="0062255B"/>
    <w:rsid w:val="006229D8"/>
    <w:rsid w:val="006242B6"/>
    <w:rsid w:val="0064136F"/>
    <w:rsid w:val="006431F4"/>
    <w:rsid w:val="00650FDA"/>
    <w:rsid w:val="00652E11"/>
    <w:rsid w:val="00653A6C"/>
    <w:rsid w:val="00653BC0"/>
    <w:rsid w:val="0065632C"/>
    <w:rsid w:val="00660A0D"/>
    <w:rsid w:val="0066149C"/>
    <w:rsid w:val="00662B2F"/>
    <w:rsid w:val="0066332C"/>
    <w:rsid w:val="00665981"/>
    <w:rsid w:val="00667143"/>
    <w:rsid w:val="006711C3"/>
    <w:rsid w:val="00671D77"/>
    <w:rsid w:val="00672D7C"/>
    <w:rsid w:val="00674589"/>
    <w:rsid w:val="00684046"/>
    <w:rsid w:val="00687112"/>
    <w:rsid w:val="00687DA0"/>
    <w:rsid w:val="00694017"/>
    <w:rsid w:val="00694A1C"/>
    <w:rsid w:val="00696DC9"/>
    <w:rsid w:val="006978D5"/>
    <w:rsid w:val="00697A89"/>
    <w:rsid w:val="006A0EC8"/>
    <w:rsid w:val="006A53B2"/>
    <w:rsid w:val="006A57A7"/>
    <w:rsid w:val="006A645F"/>
    <w:rsid w:val="006A6BBA"/>
    <w:rsid w:val="006B2220"/>
    <w:rsid w:val="006B2222"/>
    <w:rsid w:val="006B694E"/>
    <w:rsid w:val="006C1B6C"/>
    <w:rsid w:val="006C2B02"/>
    <w:rsid w:val="006C5E9A"/>
    <w:rsid w:val="006C6DD0"/>
    <w:rsid w:val="006C77FB"/>
    <w:rsid w:val="006D0004"/>
    <w:rsid w:val="006D09F9"/>
    <w:rsid w:val="006D4185"/>
    <w:rsid w:val="006D4C83"/>
    <w:rsid w:val="006D4D32"/>
    <w:rsid w:val="006D53DB"/>
    <w:rsid w:val="006E3F4D"/>
    <w:rsid w:val="006F3194"/>
    <w:rsid w:val="006F4AED"/>
    <w:rsid w:val="006F4C1D"/>
    <w:rsid w:val="007065D0"/>
    <w:rsid w:val="007103E5"/>
    <w:rsid w:val="0071045C"/>
    <w:rsid w:val="00712A28"/>
    <w:rsid w:val="0071421B"/>
    <w:rsid w:val="00716403"/>
    <w:rsid w:val="007167E2"/>
    <w:rsid w:val="007172B4"/>
    <w:rsid w:val="00717AEC"/>
    <w:rsid w:val="00720FCB"/>
    <w:rsid w:val="00721328"/>
    <w:rsid w:val="00721F22"/>
    <w:rsid w:val="00726348"/>
    <w:rsid w:val="00727B80"/>
    <w:rsid w:val="00733833"/>
    <w:rsid w:val="0073618F"/>
    <w:rsid w:val="007443B8"/>
    <w:rsid w:val="00747982"/>
    <w:rsid w:val="007507D4"/>
    <w:rsid w:val="0075234A"/>
    <w:rsid w:val="00752ACC"/>
    <w:rsid w:val="007541AA"/>
    <w:rsid w:val="0075698E"/>
    <w:rsid w:val="00756FE0"/>
    <w:rsid w:val="00762A64"/>
    <w:rsid w:val="00763ACD"/>
    <w:rsid w:val="007655D5"/>
    <w:rsid w:val="00766FF9"/>
    <w:rsid w:val="0077233A"/>
    <w:rsid w:val="00776D15"/>
    <w:rsid w:val="00781566"/>
    <w:rsid w:val="00781CE7"/>
    <w:rsid w:val="007846F4"/>
    <w:rsid w:val="007863DA"/>
    <w:rsid w:val="00790F06"/>
    <w:rsid w:val="007919E5"/>
    <w:rsid w:val="00796159"/>
    <w:rsid w:val="00796C77"/>
    <w:rsid w:val="00797CB4"/>
    <w:rsid w:val="007A5091"/>
    <w:rsid w:val="007B247F"/>
    <w:rsid w:val="007B2AB5"/>
    <w:rsid w:val="007B32BF"/>
    <w:rsid w:val="007B579D"/>
    <w:rsid w:val="007B7C9B"/>
    <w:rsid w:val="007C0586"/>
    <w:rsid w:val="007C48A0"/>
    <w:rsid w:val="007C6EEE"/>
    <w:rsid w:val="007D01C5"/>
    <w:rsid w:val="007D0686"/>
    <w:rsid w:val="007D1CBC"/>
    <w:rsid w:val="007D1D75"/>
    <w:rsid w:val="007D2FF5"/>
    <w:rsid w:val="007D5FDC"/>
    <w:rsid w:val="007D64FC"/>
    <w:rsid w:val="007D7036"/>
    <w:rsid w:val="007E0484"/>
    <w:rsid w:val="007E0F71"/>
    <w:rsid w:val="007E1193"/>
    <w:rsid w:val="007E5F91"/>
    <w:rsid w:val="007E66E3"/>
    <w:rsid w:val="007E772B"/>
    <w:rsid w:val="007F31FD"/>
    <w:rsid w:val="007F33C2"/>
    <w:rsid w:val="007F3FB7"/>
    <w:rsid w:val="007F4BB3"/>
    <w:rsid w:val="007F6F5D"/>
    <w:rsid w:val="007F7790"/>
    <w:rsid w:val="008022F1"/>
    <w:rsid w:val="0080668E"/>
    <w:rsid w:val="0080685E"/>
    <w:rsid w:val="00812B04"/>
    <w:rsid w:val="00813484"/>
    <w:rsid w:val="008157B1"/>
    <w:rsid w:val="0081596D"/>
    <w:rsid w:val="00816F3F"/>
    <w:rsid w:val="0082163C"/>
    <w:rsid w:val="0082208B"/>
    <w:rsid w:val="00827DD5"/>
    <w:rsid w:val="00830115"/>
    <w:rsid w:val="0083270D"/>
    <w:rsid w:val="00832D20"/>
    <w:rsid w:val="008354B7"/>
    <w:rsid w:val="00840789"/>
    <w:rsid w:val="0084112F"/>
    <w:rsid w:val="00845EA0"/>
    <w:rsid w:val="008467F3"/>
    <w:rsid w:val="00850885"/>
    <w:rsid w:val="00850AD7"/>
    <w:rsid w:val="00852838"/>
    <w:rsid w:val="00854166"/>
    <w:rsid w:val="00856297"/>
    <w:rsid w:val="00856A91"/>
    <w:rsid w:val="00861544"/>
    <w:rsid w:val="008615C6"/>
    <w:rsid w:val="00862DF7"/>
    <w:rsid w:val="00863D16"/>
    <w:rsid w:val="008647A7"/>
    <w:rsid w:val="00870854"/>
    <w:rsid w:val="00870E89"/>
    <w:rsid w:val="00875463"/>
    <w:rsid w:val="00876A49"/>
    <w:rsid w:val="00882C4D"/>
    <w:rsid w:val="00882F59"/>
    <w:rsid w:val="00884287"/>
    <w:rsid w:val="00887C17"/>
    <w:rsid w:val="00892B77"/>
    <w:rsid w:val="00893642"/>
    <w:rsid w:val="00893794"/>
    <w:rsid w:val="00894150"/>
    <w:rsid w:val="00894925"/>
    <w:rsid w:val="008A24DB"/>
    <w:rsid w:val="008A65B6"/>
    <w:rsid w:val="008B2644"/>
    <w:rsid w:val="008B2F48"/>
    <w:rsid w:val="008B36DA"/>
    <w:rsid w:val="008B467E"/>
    <w:rsid w:val="008B5F91"/>
    <w:rsid w:val="008C181F"/>
    <w:rsid w:val="008C2262"/>
    <w:rsid w:val="008C27BB"/>
    <w:rsid w:val="008C34B0"/>
    <w:rsid w:val="008C4F81"/>
    <w:rsid w:val="008D0D67"/>
    <w:rsid w:val="008D229B"/>
    <w:rsid w:val="008D2AB9"/>
    <w:rsid w:val="008D2B35"/>
    <w:rsid w:val="008D4CCA"/>
    <w:rsid w:val="008D58C5"/>
    <w:rsid w:val="008D59FC"/>
    <w:rsid w:val="008D65FE"/>
    <w:rsid w:val="008D6D22"/>
    <w:rsid w:val="008D6FDE"/>
    <w:rsid w:val="008E56AD"/>
    <w:rsid w:val="008E5E57"/>
    <w:rsid w:val="008E7CC5"/>
    <w:rsid w:val="008F05B9"/>
    <w:rsid w:val="008F1317"/>
    <w:rsid w:val="008F19DE"/>
    <w:rsid w:val="008F3E4F"/>
    <w:rsid w:val="0090799B"/>
    <w:rsid w:val="00913B84"/>
    <w:rsid w:val="00913FE6"/>
    <w:rsid w:val="009170B4"/>
    <w:rsid w:val="00917F4B"/>
    <w:rsid w:val="00920355"/>
    <w:rsid w:val="009209D2"/>
    <w:rsid w:val="00924402"/>
    <w:rsid w:val="00931C97"/>
    <w:rsid w:val="0093225D"/>
    <w:rsid w:val="00932CF7"/>
    <w:rsid w:val="0093508A"/>
    <w:rsid w:val="00936CFD"/>
    <w:rsid w:val="009372AE"/>
    <w:rsid w:val="009410F9"/>
    <w:rsid w:val="00941450"/>
    <w:rsid w:val="0094367F"/>
    <w:rsid w:val="009457C1"/>
    <w:rsid w:val="009457F3"/>
    <w:rsid w:val="00946DE8"/>
    <w:rsid w:val="009511F3"/>
    <w:rsid w:val="009519E4"/>
    <w:rsid w:val="009535ED"/>
    <w:rsid w:val="0095412C"/>
    <w:rsid w:val="00960FBE"/>
    <w:rsid w:val="00960FBF"/>
    <w:rsid w:val="00962BBD"/>
    <w:rsid w:val="00963002"/>
    <w:rsid w:val="009632F2"/>
    <w:rsid w:val="0096520E"/>
    <w:rsid w:val="00965636"/>
    <w:rsid w:val="00965774"/>
    <w:rsid w:val="00965CDC"/>
    <w:rsid w:val="009673CC"/>
    <w:rsid w:val="009703BC"/>
    <w:rsid w:val="00971975"/>
    <w:rsid w:val="00974509"/>
    <w:rsid w:val="00980F48"/>
    <w:rsid w:val="009816DC"/>
    <w:rsid w:val="009834D2"/>
    <w:rsid w:val="0098430B"/>
    <w:rsid w:val="00985C1C"/>
    <w:rsid w:val="00986AFD"/>
    <w:rsid w:val="00991039"/>
    <w:rsid w:val="00992156"/>
    <w:rsid w:val="009936ED"/>
    <w:rsid w:val="00993BA2"/>
    <w:rsid w:val="00993FD7"/>
    <w:rsid w:val="0099409F"/>
    <w:rsid w:val="009941E1"/>
    <w:rsid w:val="00994B5F"/>
    <w:rsid w:val="00995D3C"/>
    <w:rsid w:val="00997DAC"/>
    <w:rsid w:val="009A6C73"/>
    <w:rsid w:val="009B109F"/>
    <w:rsid w:val="009B1C94"/>
    <w:rsid w:val="009B2F7B"/>
    <w:rsid w:val="009B601D"/>
    <w:rsid w:val="009C6968"/>
    <w:rsid w:val="009C6AFF"/>
    <w:rsid w:val="009C7F10"/>
    <w:rsid w:val="009D195B"/>
    <w:rsid w:val="009D26EC"/>
    <w:rsid w:val="009D2BFB"/>
    <w:rsid w:val="009D60DE"/>
    <w:rsid w:val="009D6E12"/>
    <w:rsid w:val="009E07D5"/>
    <w:rsid w:val="009E130C"/>
    <w:rsid w:val="009E3D63"/>
    <w:rsid w:val="009E5773"/>
    <w:rsid w:val="009E604B"/>
    <w:rsid w:val="009E7536"/>
    <w:rsid w:val="009F10A5"/>
    <w:rsid w:val="009F21BE"/>
    <w:rsid w:val="009F23D5"/>
    <w:rsid w:val="009F4752"/>
    <w:rsid w:val="009F4E72"/>
    <w:rsid w:val="009F6225"/>
    <w:rsid w:val="009F6F87"/>
    <w:rsid w:val="009F7B0C"/>
    <w:rsid w:val="00A02B0E"/>
    <w:rsid w:val="00A05C88"/>
    <w:rsid w:val="00A073B7"/>
    <w:rsid w:val="00A11080"/>
    <w:rsid w:val="00A13CFD"/>
    <w:rsid w:val="00A150D0"/>
    <w:rsid w:val="00A15E71"/>
    <w:rsid w:val="00A17275"/>
    <w:rsid w:val="00A21BBC"/>
    <w:rsid w:val="00A220C0"/>
    <w:rsid w:val="00A22BD9"/>
    <w:rsid w:val="00A2478B"/>
    <w:rsid w:val="00A2679F"/>
    <w:rsid w:val="00A30560"/>
    <w:rsid w:val="00A348EF"/>
    <w:rsid w:val="00A358EA"/>
    <w:rsid w:val="00A372A9"/>
    <w:rsid w:val="00A42537"/>
    <w:rsid w:val="00A4439B"/>
    <w:rsid w:val="00A454E0"/>
    <w:rsid w:val="00A52752"/>
    <w:rsid w:val="00A5443E"/>
    <w:rsid w:val="00A55011"/>
    <w:rsid w:val="00A56AD8"/>
    <w:rsid w:val="00A60BF4"/>
    <w:rsid w:val="00A66AB0"/>
    <w:rsid w:val="00A720C7"/>
    <w:rsid w:val="00A725EF"/>
    <w:rsid w:val="00A75168"/>
    <w:rsid w:val="00A76424"/>
    <w:rsid w:val="00A8042B"/>
    <w:rsid w:val="00A81D82"/>
    <w:rsid w:val="00A81DDE"/>
    <w:rsid w:val="00A84657"/>
    <w:rsid w:val="00A86287"/>
    <w:rsid w:val="00A90F4A"/>
    <w:rsid w:val="00AA570F"/>
    <w:rsid w:val="00AB24D7"/>
    <w:rsid w:val="00AB2A36"/>
    <w:rsid w:val="00AB4DA9"/>
    <w:rsid w:val="00AC1F18"/>
    <w:rsid w:val="00AC7B3E"/>
    <w:rsid w:val="00AC7F56"/>
    <w:rsid w:val="00AD056B"/>
    <w:rsid w:val="00AD19F0"/>
    <w:rsid w:val="00AD306C"/>
    <w:rsid w:val="00AE3000"/>
    <w:rsid w:val="00AF60CC"/>
    <w:rsid w:val="00B00EBC"/>
    <w:rsid w:val="00B01A77"/>
    <w:rsid w:val="00B068FC"/>
    <w:rsid w:val="00B116A7"/>
    <w:rsid w:val="00B12267"/>
    <w:rsid w:val="00B124E5"/>
    <w:rsid w:val="00B14E62"/>
    <w:rsid w:val="00B20A9C"/>
    <w:rsid w:val="00B2793F"/>
    <w:rsid w:val="00B279AB"/>
    <w:rsid w:val="00B31647"/>
    <w:rsid w:val="00B31A9A"/>
    <w:rsid w:val="00B33354"/>
    <w:rsid w:val="00B35333"/>
    <w:rsid w:val="00B35BDB"/>
    <w:rsid w:val="00B3689C"/>
    <w:rsid w:val="00B45552"/>
    <w:rsid w:val="00B4628F"/>
    <w:rsid w:val="00B50271"/>
    <w:rsid w:val="00B540EF"/>
    <w:rsid w:val="00B547DF"/>
    <w:rsid w:val="00B54A08"/>
    <w:rsid w:val="00B55FE0"/>
    <w:rsid w:val="00B6559C"/>
    <w:rsid w:val="00B66833"/>
    <w:rsid w:val="00B67602"/>
    <w:rsid w:val="00B67B7A"/>
    <w:rsid w:val="00B72721"/>
    <w:rsid w:val="00B737F3"/>
    <w:rsid w:val="00B746FD"/>
    <w:rsid w:val="00B74C68"/>
    <w:rsid w:val="00B751EB"/>
    <w:rsid w:val="00B77095"/>
    <w:rsid w:val="00B77698"/>
    <w:rsid w:val="00B80356"/>
    <w:rsid w:val="00B82080"/>
    <w:rsid w:val="00B82471"/>
    <w:rsid w:val="00B83925"/>
    <w:rsid w:val="00B86D2F"/>
    <w:rsid w:val="00B903B8"/>
    <w:rsid w:val="00B956EA"/>
    <w:rsid w:val="00BA1081"/>
    <w:rsid w:val="00BA14AE"/>
    <w:rsid w:val="00BA33EE"/>
    <w:rsid w:val="00BA609D"/>
    <w:rsid w:val="00BA667D"/>
    <w:rsid w:val="00BA6D33"/>
    <w:rsid w:val="00BB1A36"/>
    <w:rsid w:val="00BB1E80"/>
    <w:rsid w:val="00BB3FD7"/>
    <w:rsid w:val="00BB45C7"/>
    <w:rsid w:val="00BB6E2A"/>
    <w:rsid w:val="00BB7FF2"/>
    <w:rsid w:val="00BC0F78"/>
    <w:rsid w:val="00BC613B"/>
    <w:rsid w:val="00BC7B0C"/>
    <w:rsid w:val="00BD1808"/>
    <w:rsid w:val="00BD1A82"/>
    <w:rsid w:val="00BD26D4"/>
    <w:rsid w:val="00BD3766"/>
    <w:rsid w:val="00BD4FB7"/>
    <w:rsid w:val="00BD6227"/>
    <w:rsid w:val="00BE17CF"/>
    <w:rsid w:val="00BE398A"/>
    <w:rsid w:val="00BE6FD6"/>
    <w:rsid w:val="00BE7218"/>
    <w:rsid w:val="00BF11C4"/>
    <w:rsid w:val="00BF3944"/>
    <w:rsid w:val="00BF4879"/>
    <w:rsid w:val="00BF7411"/>
    <w:rsid w:val="00C0130F"/>
    <w:rsid w:val="00C02743"/>
    <w:rsid w:val="00C03D9F"/>
    <w:rsid w:val="00C13349"/>
    <w:rsid w:val="00C14429"/>
    <w:rsid w:val="00C14668"/>
    <w:rsid w:val="00C14CD8"/>
    <w:rsid w:val="00C22815"/>
    <w:rsid w:val="00C31545"/>
    <w:rsid w:val="00C32ACF"/>
    <w:rsid w:val="00C32DBF"/>
    <w:rsid w:val="00C3604B"/>
    <w:rsid w:val="00C37491"/>
    <w:rsid w:val="00C37496"/>
    <w:rsid w:val="00C402C4"/>
    <w:rsid w:val="00C404EC"/>
    <w:rsid w:val="00C40E72"/>
    <w:rsid w:val="00C41ABD"/>
    <w:rsid w:val="00C456DA"/>
    <w:rsid w:val="00C50EAE"/>
    <w:rsid w:val="00C51453"/>
    <w:rsid w:val="00C51987"/>
    <w:rsid w:val="00C52970"/>
    <w:rsid w:val="00C5392C"/>
    <w:rsid w:val="00C5393F"/>
    <w:rsid w:val="00C5581C"/>
    <w:rsid w:val="00C56A3B"/>
    <w:rsid w:val="00C57318"/>
    <w:rsid w:val="00C57436"/>
    <w:rsid w:val="00C62EC8"/>
    <w:rsid w:val="00C67380"/>
    <w:rsid w:val="00C7086F"/>
    <w:rsid w:val="00C745A7"/>
    <w:rsid w:val="00C83811"/>
    <w:rsid w:val="00C86AFC"/>
    <w:rsid w:val="00C9307D"/>
    <w:rsid w:val="00C935BD"/>
    <w:rsid w:val="00C93872"/>
    <w:rsid w:val="00C96CEF"/>
    <w:rsid w:val="00CA0E60"/>
    <w:rsid w:val="00CA539F"/>
    <w:rsid w:val="00CA688B"/>
    <w:rsid w:val="00CB12DE"/>
    <w:rsid w:val="00CB2AAA"/>
    <w:rsid w:val="00CB2DE2"/>
    <w:rsid w:val="00CB5C5D"/>
    <w:rsid w:val="00CB5EB7"/>
    <w:rsid w:val="00CC0541"/>
    <w:rsid w:val="00CC1C28"/>
    <w:rsid w:val="00CC1E7E"/>
    <w:rsid w:val="00CC3EBE"/>
    <w:rsid w:val="00CC7075"/>
    <w:rsid w:val="00CD111E"/>
    <w:rsid w:val="00CD21A8"/>
    <w:rsid w:val="00CD2D0F"/>
    <w:rsid w:val="00CD3607"/>
    <w:rsid w:val="00CD46EC"/>
    <w:rsid w:val="00CD4AC7"/>
    <w:rsid w:val="00CE1D36"/>
    <w:rsid w:val="00CE251F"/>
    <w:rsid w:val="00CE3A20"/>
    <w:rsid w:val="00CE3A92"/>
    <w:rsid w:val="00CE4F86"/>
    <w:rsid w:val="00CE5DBA"/>
    <w:rsid w:val="00CF0BBA"/>
    <w:rsid w:val="00CF1814"/>
    <w:rsid w:val="00CF38C4"/>
    <w:rsid w:val="00CF4623"/>
    <w:rsid w:val="00CF575D"/>
    <w:rsid w:val="00CF6903"/>
    <w:rsid w:val="00CF6D51"/>
    <w:rsid w:val="00CF7BE2"/>
    <w:rsid w:val="00D02722"/>
    <w:rsid w:val="00D05621"/>
    <w:rsid w:val="00D05A13"/>
    <w:rsid w:val="00D10499"/>
    <w:rsid w:val="00D1167F"/>
    <w:rsid w:val="00D15164"/>
    <w:rsid w:val="00D21009"/>
    <w:rsid w:val="00D24A72"/>
    <w:rsid w:val="00D27F17"/>
    <w:rsid w:val="00D31BCC"/>
    <w:rsid w:val="00D359CF"/>
    <w:rsid w:val="00D35F9A"/>
    <w:rsid w:val="00D421D3"/>
    <w:rsid w:val="00D4223D"/>
    <w:rsid w:val="00D45B5F"/>
    <w:rsid w:val="00D50686"/>
    <w:rsid w:val="00D528D4"/>
    <w:rsid w:val="00D53C96"/>
    <w:rsid w:val="00D541CE"/>
    <w:rsid w:val="00D54449"/>
    <w:rsid w:val="00D545D4"/>
    <w:rsid w:val="00D574F7"/>
    <w:rsid w:val="00D6030B"/>
    <w:rsid w:val="00D66820"/>
    <w:rsid w:val="00D66C75"/>
    <w:rsid w:val="00D71556"/>
    <w:rsid w:val="00D717BC"/>
    <w:rsid w:val="00D748CB"/>
    <w:rsid w:val="00D76B30"/>
    <w:rsid w:val="00D77275"/>
    <w:rsid w:val="00D77889"/>
    <w:rsid w:val="00D81978"/>
    <w:rsid w:val="00D84E48"/>
    <w:rsid w:val="00D86568"/>
    <w:rsid w:val="00D9237D"/>
    <w:rsid w:val="00D9446B"/>
    <w:rsid w:val="00D95D12"/>
    <w:rsid w:val="00DA000A"/>
    <w:rsid w:val="00DA101C"/>
    <w:rsid w:val="00DA1E4F"/>
    <w:rsid w:val="00DA2B6B"/>
    <w:rsid w:val="00DA2F60"/>
    <w:rsid w:val="00DA35B8"/>
    <w:rsid w:val="00DA56D1"/>
    <w:rsid w:val="00DB23E2"/>
    <w:rsid w:val="00DB35D0"/>
    <w:rsid w:val="00DB71CD"/>
    <w:rsid w:val="00DB757F"/>
    <w:rsid w:val="00DC07EA"/>
    <w:rsid w:val="00DC248D"/>
    <w:rsid w:val="00DD02AD"/>
    <w:rsid w:val="00DD069F"/>
    <w:rsid w:val="00DD4548"/>
    <w:rsid w:val="00DD5D8F"/>
    <w:rsid w:val="00DE273E"/>
    <w:rsid w:val="00DE6171"/>
    <w:rsid w:val="00DE70E2"/>
    <w:rsid w:val="00DE7A40"/>
    <w:rsid w:val="00DF2D1F"/>
    <w:rsid w:val="00DF5205"/>
    <w:rsid w:val="00DF6138"/>
    <w:rsid w:val="00DF7318"/>
    <w:rsid w:val="00E05507"/>
    <w:rsid w:val="00E1001C"/>
    <w:rsid w:val="00E10827"/>
    <w:rsid w:val="00E12868"/>
    <w:rsid w:val="00E17278"/>
    <w:rsid w:val="00E222E9"/>
    <w:rsid w:val="00E25060"/>
    <w:rsid w:val="00E255AA"/>
    <w:rsid w:val="00E25EC4"/>
    <w:rsid w:val="00E346F2"/>
    <w:rsid w:val="00E35199"/>
    <w:rsid w:val="00E35E46"/>
    <w:rsid w:val="00E3679C"/>
    <w:rsid w:val="00E374D9"/>
    <w:rsid w:val="00E419E8"/>
    <w:rsid w:val="00E43450"/>
    <w:rsid w:val="00E51D81"/>
    <w:rsid w:val="00E5446F"/>
    <w:rsid w:val="00E56391"/>
    <w:rsid w:val="00E5673F"/>
    <w:rsid w:val="00E575F1"/>
    <w:rsid w:val="00E6118E"/>
    <w:rsid w:val="00E63526"/>
    <w:rsid w:val="00E643D5"/>
    <w:rsid w:val="00E6585B"/>
    <w:rsid w:val="00E72163"/>
    <w:rsid w:val="00E728BD"/>
    <w:rsid w:val="00E8105A"/>
    <w:rsid w:val="00E85CBA"/>
    <w:rsid w:val="00E90553"/>
    <w:rsid w:val="00E95E2C"/>
    <w:rsid w:val="00EA27A3"/>
    <w:rsid w:val="00EA2998"/>
    <w:rsid w:val="00EA34D8"/>
    <w:rsid w:val="00EA4461"/>
    <w:rsid w:val="00EA5DEB"/>
    <w:rsid w:val="00EA6792"/>
    <w:rsid w:val="00EA6BBF"/>
    <w:rsid w:val="00EB6D03"/>
    <w:rsid w:val="00EB70C5"/>
    <w:rsid w:val="00EC025C"/>
    <w:rsid w:val="00EC4A43"/>
    <w:rsid w:val="00EC5F7C"/>
    <w:rsid w:val="00EC60BA"/>
    <w:rsid w:val="00EC6CF2"/>
    <w:rsid w:val="00ED0F47"/>
    <w:rsid w:val="00ED22BE"/>
    <w:rsid w:val="00ED2471"/>
    <w:rsid w:val="00ED3083"/>
    <w:rsid w:val="00ED4F36"/>
    <w:rsid w:val="00EE0471"/>
    <w:rsid w:val="00EE4680"/>
    <w:rsid w:val="00EE49D9"/>
    <w:rsid w:val="00EF0FDE"/>
    <w:rsid w:val="00EF4B0B"/>
    <w:rsid w:val="00EF5FD3"/>
    <w:rsid w:val="00EF6A45"/>
    <w:rsid w:val="00F00FCD"/>
    <w:rsid w:val="00F065FF"/>
    <w:rsid w:val="00F0691E"/>
    <w:rsid w:val="00F122D3"/>
    <w:rsid w:val="00F1467B"/>
    <w:rsid w:val="00F14821"/>
    <w:rsid w:val="00F150DE"/>
    <w:rsid w:val="00F16044"/>
    <w:rsid w:val="00F24CE8"/>
    <w:rsid w:val="00F25911"/>
    <w:rsid w:val="00F3534D"/>
    <w:rsid w:val="00F35920"/>
    <w:rsid w:val="00F360B6"/>
    <w:rsid w:val="00F36D7D"/>
    <w:rsid w:val="00F37F2D"/>
    <w:rsid w:val="00F56392"/>
    <w:rsid w:val="00F57EC8"/>
    <w:rsid w:val="00F61C72"/>
    <w:rsid w:val="00F63CD2"/>
    <w:rsid w:val="00F64A7F"/>
    <w:rsid w:val="00F65D44"/>
    <w:rsid w:val="00F66C21"/>
    <w:rsid w:val="00F66E5D"/>
    <w:rsid w:val="00F71386"/>
    <w:rsid w:val="00F71663"/>
    <w:rsid w:val="00F727FF"/>
    <w:rsid w:val="00F750A9"/>
    <w:rsid w:val="00F770DB"/>
    <w:rsid w:val="00F80A6C"/>
    <w:rsid w:val="00F84097"/>
    <w:rsid w:val="00F8766D"/>
    <w:rsid w:val="00F92DEF"/>
    <w:rsid w:val="00F96D22"/>
    <w:rsid w:val="00F97474"/>
    <w:rsid w:val="00F9776A"/>
    <w:rsid w:val="00FA21A7"/>
    <w:rsid w:val="00FA6FEE"/>
    <w:rsid w:val="00FA774D"/>
    <w:rsid w:val="00FB16C5"/>
    <w:rsid w:val="00FB485C"/>
    <w:rsid w:val="00FB6234"/>
    <w:rsid w:val="00FB6257"/>
    <w:rsid w:val="00FB63CA"/>
    <w:rsid w:val="00FB6E1A"/>
    <w:rsid w:val="00FC1E0E"/>
    <w:rsid w:val="00FC35C5"/>
    <w:rsid w:val="00FC6D69"/>
    <w:rsid w:val="00FC73DF"/>
    <w:rsid w:val="00FD07A1"/>
    <w:rsid w:val="00FD2168"/>
    <w:rsid w:val="00FD27B3"/>
    <w:rsid w:val="00FD6933"/>
    <w:rsid w:val="00FD6CB8"/>
    <w:rsid w:val="00FD6D7B"/>
    <w:rsid w:val="00FD79B6"/>
    <w:rsid w:val="00FD7C67"/>
    <w:rsid w:val="00FE31E4"/>
    <w:rsid w:val="00FE5B66"/>
    <w:rsid w:val="00FF0DA7"/>
    <w:rsid w:val="00FF1991"/>
    <w:rsid w:val="00FF236A"/>
    <w:rsid w:val="00FF2679"/>
    <w:rsid w:val="00FF27D1"/>
    <w:rsid w:val="00FF5403"/>
    <w:rsid w:val="00FF724B"/>
    <w:rsid w:val="00FF759F"/>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042"/>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qFormat/>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rsid w:val="00404968"/>
    <w:pPr>
      <w:spacing w:line="264" w:lineRule="auto"/>
      <w:jc w:val="both"/>
    </w:pPr>
    <w:rPr>
      <w:sz w:val="22"/>
      <w:szCs w:val="22"/>
      <w:lang w:val="en-GB" w:eastAsia="en-GB"/>
    </w:rPr>
  </w:style>
  <w:style w:type="character" w:styleId="Hyperlink">
    <w:name w:val="Hyperlink"/>
    <w:basedOn w:val="DefaultParagraphFont"/>
    <w:uiPriority w:val="99"/>
    <w:semiHidden/>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numPr>
        <w:numId w:val="2"/>
      </w:num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numPr>
        <w:ilvl w:val="1"/>
        <w:numId w:val="2"/>
      </w:numPr>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customStyle="1" w:styleId="pf0">
    <w:name w:val="pf0"/>
    <w:basedOn w:val="Normal"/>
    <w:rsid w:val="00C5392C"/>
    <w:pPr>
      <w:spacing w:before="100" w:beforeAutospacing="1" w:after="100" w:afterAutospacing="1"/>
    </w:pPr>
    <w:rPr>
      <w:rFonts w:ascii="Times New Roman" w:hAnsi="Times New Roman"/>
      <w:b w:val="0"/>
      <w:sz w:val="24"/>
      <w:szCs w:val="24"/>
      <w:lang w:val="en-ZA"/>
    </w:rPr>
  </w:style>
  <w:style w:type="character" w:customStyle="1" w:styleId="cf01">
    <w:name w:val="cf01"/>
    <w:basedOn w:val="DefaultParagraphFont"/>
    <w:rsid w:val="00C5392C"/>
    <w:rPr>
      <w:rFonts w:ascii="Segoe UI" w:hAnsi="Segoe UI" w:cs="Segoe UI" w:hint="default"/>
      <w:b/>
      <w:bCs/>
      <w:sz w:val="18"/>
      <w:szCs w:val="18"/>
      <w:shd w:val="clear" w:color="auto" w:fill="FFFF00"/>
    </w:rPr>
  </w:style>
  <w:style w:type="character" w:customStyle="1" w:styleId="cf11">
    <w:name w:val="cf11"/>
    <w:basedOn w:val="DefaultParagraphFont"/>
    <w:rsid w:val="00C5392C"/>
    <w:rPr>
      <w:rFonts w:ascii="Segoe UI" w:hAnsi="Segoe UI" w:cs="Segoe UI" w:hint="default"/>
      <w:b/>
      <w:bCs/>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958">
      <w:bodyDiv w:val="1"/>
      <w:marLeft w:val="0"/>
      <w:marRight w:val="0"/>
      <w:marTop w:val="0"/>
      <w:marBottom w:val="0"/>
      <w:divBdr>
        <w:top w:val="none" w:sz="0" w:space="0" w:color="auto"/>
        <w:left w:val="none" w:sz="0" w:space="0" w:color="auto"/>
        <w:bottom w:val="none" w:sz="0" w:space="0" w:color="auto"/>
        <w:right w:val="none" w:sz="0" w:space="0" w:color="auto"/>
      </w:divBdr>
    </w:div>
    <w:div w:id="902565874">
      <w:bodyDiv w:val="1"/>
      <w:marLeft w:val="0"/>
      <w:marRight w:val="0"/>
      <w:marTop w:val="0"/>
      <w:marBottom w:val="0"/>
      <w:divBdr>
        <w:top w:val="none" w:sz="0" w:space="0" w:color="auto"/>
        <w:left w:val="none" w:sz="0" w:space="0" w:color="auto"/>
        <w:bottom w:val="none" w:sz="0" w:space="0" w:color="auto"/>
        <w:right w:val="none" w:sz="0" w:space="0" w:color="auto"/>
      </w:divBdr>
    </w:div>
    <w:div w:id="1180655667">
      <w:bodyDiv w:val="1"/>
      <w:marLeft w:val="0"/>
      <w:marRight w:val="0"/>
      <w:marTop w:val="0"/>
      <w:marBottom w:val="0"/>
      <w:divBdr>
        <w:top w:val="none" w:sz="0" w:space="0" w:color="auto"/>
        <w:left w:val="none" w:sz="0" w:space="0" w:color="auto"/>
        <w:bottom w:val="none" w:sz="0" w:space="0" w:color="auto"/>
        <w:right w:val="none" w:sz="0" w:space="0" w:color="auto"/>
      </w:divBdr>
    </w:div>
    <w:div w:id="1585919608">
      <w:bodyDiv w:val="1"/>
      <w:marLeft w:val="0"/>
      <w:marRight w:val="0"/>
      <w:marTop w:val="0"/>
      <w:marBottom w:val="0"/>
      <w:divBdr>
        <w:top w:val="none" w:sz="0" w:space="0" w:color="auto"/>
        <w:left w:val="none" w:sz="0" w:space="0" w:color="auto"/>
        <w:bottom w:val="none" w:sz="0" w:space="0" w:color="auto"/>
        <w:right w:val="none" w:sz="0" w:space="0" w:color="auto"/>
      </w:divBdr>
    </w:div>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385E522DCC547A1B6BC05B232C11C" ma:contentTypeVersion="0" ma:contentTypeDescription="Create a new document." ma:contentTypeScope="" ma:versionID="011aab8fed009ef129af502fdaa03fca">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F0D09-E62D-47A6-9FFC-DF8635118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9A983F-CD43-4DB4-B5B5-A1748ED05787}">
  <ds:schemaRefs>
    <ds:schemaRef ds:uri="http://schemas.microsoft.com/sharepoint/v3/contenttype/forms"/>
  </ds:schemaRefs>
</ds:datastoreItem>
</file>

<file path=customXml/itemProps3.xml><?xml version="1.0" encoding="utf-8"?>
<ds:datastoreItem xmlns:ds="http://schemas.openxmlformats.org/officeDocument/2006/customXml" ds:itemID="{5FF61C29-EEFC-44AB-87E0-4E6BD56EE320}">
  <ds:schemaRefs>
    <ds:schemaRef ds:uri="http://schemas.microsoft.com/office/2006/metadata/properties"/>
  </ds:schemaRefs>
</ds:datastoreItem>
</file>

<file path=customXml/itemProps4.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1582</Words>
  <Characters>8165</Characters>
  <Application>Microsoft Office Word</Application>
  <DocSecurity>0</DocSecurity>
  <Lines>173</Lines>
  <Paragraphs>96</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2</cp:revision>
  <cp:lastPrinted>2017-02-16T12:55:00Z</cp:lastPrinted>
  <dcterms:created xsi:type="dcterms:W3CDTF">2023-08-16T13:24:00Z</dcterms:created>
  <dcterms:modified xsi:type="dcterms:W3CDTF">2023-08-16T13:24:00Z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0x010100562385E522DCC547A1B6BC05B232C11C</vt:lpwstr>
  </property>
</Properties>
</file>